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56AA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577860">
        <w:rPr>
          <w:rFonts w:ascii="Times New Roman" w:eastAsia="Arial Unicode MS" w:hAnsi="Times New Roman" w:cs="Times New Roman"/>
          <w:b/>
          <w:kern w:val="0"/>
          <w:sz w:val="24"/>
          <w:szCs w:val="24"/>
          <w:lang w:eastAsia="lv-LV"/>
          <w14:ligatures w14:val="none"/>
        </w:rPr>
        <w:t>2</w:t>
      </w:r>
    </w:p>
    <w:p w14:paraId="7BBD772A" w14:textId="364F598F"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577860">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B659E5D" w14:textId="77777777" w:rsidR="00305261" w:rsidRDefault="00305261" w:rsidP="00305261">
      <w:pPr>
        <w:keepNext/>
        <w:spacing w:after="0" w:line="240" w:lineRule="auto"/>
        <w:jc w:val="both"/>
        <w:outlineLvl w:val="0"/>
        <w:rPr>
          <w:rFonts w:ascii="Times New Roman" w:hAnsi="Times New Roman" w:cs="Times New Roman"/>
          <w:b/>
          <w:bCs/>
          <w:kern w:val="24"/>
          <w:sz w:val="24"/>
          <w:szCs w:val="24"/>
          <w14:ligatures w14:val="none"/>
        </w:rPr>
      </w:pPr>
      <w:bookmarkStart w:id="632" w:name="_Hlk225499935"/>
    </w:p>
    <w:p w14:paraId="1B9044DA" w14:textId="77777777" w:rsidR="00577860" w:rsidRPr="00373A79" w:rsidRDefault="00577860" w:rsidP="00577860">
      <w:pPr>
        <w:spacing w:after="0" w:line="240" w:lineRule="auto"/>
        <w:contextualSpacing/>
        <w:jc w:val="both"/>
        <w:rPr>
          <w:rFonts w:ascii="Times New Roman" w:hAnsi="Times New Roman"/>
          <w:b/>
          <w:bCs/>
          <w:sz w:val="24"/>
          <w:szCs w:val="24"/>
        </w:rPr>
      </w:pPr>
      <w:r w:rsidRPr="00373A79">
        <w:rPr>
          <w:rFonts w:ascii="Times New Roman" w:hAnsi="Times New Roman"/>
          <w:b/>
          <w:bCs/>
          <w:sz w:val="24"/>
          <w:szCs w:val="24"/>
        </w:rPr>
        <w:t>Par grozījumiem Madonas novada pašvaldības domes 27.11.2025. lēmumā Nr. 430 “Par Madonas novada pašvaldības maksas pakalpojumu cenrāža apstiprināšanu”</w:t>
      </w:r>
    </w:p>
    <w:p w14:paraId="58EB3F6E" w14:textId="77777777" w:rsidR="00577860" w:rsidRPr="00373A79" w:rsidRDefault="00577860" w:rsidP="00577860">
      <w:pPr>
        <w:spacing w:after="0" w:line="240" w:lineRule="auto"/>
        <w:contextualSpacing/>
        <w:textDirection w:val="btLr"/>
        <w:textAlignment w:val="top"/>
        <w:outlineLvl w:val="0"/>
        <w:rPr>
          <w:rFonts w:ascii="Times New Roman" w:eastAsia="Times New Roman" w:hAnsi="Times New Roman"/>
          <w:position w:val="-1"/>
          <w:sz w:val="24"/>
          <w:szCs w:val="24"/>
          <w:lang w:eastAsia="ar-SA"/>
        </w:rPr>
      </w:pPr>
    </w:p>
    <w:p w14:paraId="53ED36C7" w14:textId="1ED9F082" w:rsidR="00577860" w:rsidRDefault="00577860" w:rsidP="00577860">
      <w:pPr>
        <w:spacing w:after="0" w:line="240" w:lineRule="auto"/>
        <w:ind w:firstLine="567"/>
        <w:contextualSpacing/>
        <w:jc w:val="both"/>
        <w:rPr>
          <w:rFonts w:ascii="Times New Roman" w:eastAsia="MS Mincho" w:hAnsi="Times New Roman"/>
          <w:sz w:val="24"/>
          <w:szCs w:val="24"/>
        </w:rPr>
      </w:pPr>
      <w:r w:rsidRPr="00373A79">
        <w:rPr>
          <w:rFonts w:ascii="Times New Roman" w:eastAsia="MS Mincho" w:hAnsi="Times New Roman"/>
          <w:sz w:val="24"/>
          <w:szCs w:val="24"/>
        </w:rPr>
        <w:t xml:space="preserve">Saskaņā ar Pašvaldību likumu 10. panta </w:t>
      </w:r>
      <w:r>
        <w:rPr>
          <w:rFonts w:ascii="Times New Roman" w:eastAsia="MS Mincho" w:hAnsi="Times New Roman"/>
          <w:sz w:val="24"/>
          <w:szCs w:val="24"/>
        </w:rPr>
        <w:t>otrās daļas 2.</w:t>
      </w:r>
      <w:r>
        <w:rPr>
          <w:rFonts w:ascii="Times New Roman" w:eastAsia="MS Mincho" w:hAnsi="Times New Roman"/>
          <w:sz w:val="24"/>
          <w:szCs w:val="24"/>
        </w:rPr>
        <w:t xml:space="preserve"> </w:t>
      </w:r>
      <w:r>
        <w:rPr>
          <w:rFonts w:ascii="Times New Roman" w:eastAsia="MS Mincho" w:hAnsi="Times New Roman"/>
          <w:sz w:val="24"/>
          <w:szCs w:val="24"/>
        </w:rPr>
        <w:t>punkta d)apakšpunktu, j</w:t>
      </w:r>
      <w:r w:rsidRPr="004336CE">
        <w:rPr>
          <w:rFonts w:ascii="Times New Roman" w:eastAsia="MS Mincho" w:hAnsi="Times New Roman"/>
          <w:sz w:val="24"/>
          <w:szCs w:val="24"/>
        </w:rPr>
        <w:t>a likums tieši nenoteic, ka attiecīgā lēmuma pieņemšana ir domes kompetencē, dome, paredzot to pašvaldības nolikumā, var pilnvarot pašvaldības administrāciju</w:t>
      </w:r>
      <w:r>
        <w:rPr>
          <w:rFonts w:ascii="Times New Roman" w:eastAsia="MS Mincho" w:hAnsi="Times New Roman"/>
          <w:sz w:val="24"/>
          <w:szCs w:val="24"/>
        </w:rPr>
        <w:t>,</w:t>
      </w:r>
      <w:r w:rsidRPr="00373A79">
        <w:rPr>
          <w:rFonts w:ascii="Times New Roman" w:eastAsia="MS Mincho" w:hAnsi="Times New Roman"/>
          <w:sz w:val="24"/>
          <w:szCs w:val="24"/>
        </w:rPr>
        <w:t xml:space="preserve"> </w:t>
      </w:r>
      <w:r w:rsidRPr="004336CE">
        <w:rPr>
          <w:rFonts w:ascii="Times New Roman" w:eastAsia="MS Mincho" w:hAnsi="Times New Roman"/>
          <w:sz w:val="24"/>
          <w:szCs w:val="24"/>
        </w:rPr>
        <w:t>ja tas nav aizliegts vai noteikts ar likumu, noteikt maksu par</w:t>
      </w:r>
      <w:r w:rsidRPr="00373A79">
        <w:rPr>
          <w:rFonts w:ascii="Times New Roman" w:eastAsia="MS Mincho" w:hAnsi="Times New Roman"/>
          <w:sz w:val="24"/>
          <w:szCs w:val="24"/>
        </w:rPr>
        <w:t xml:space="preserve"> </w:t>
      </w:r>
      <w:r w:rsidRPr="004336CE">
        <w:rPr>
          <w:rFonts w:ascii="Times New Roman" w:eastAsia="MS Mincho" w:hAnsi="Times New Roman"/>
          <w:sz w:val="24"/>
          <w:szCs w:val="24"/>
        </w:rPr>
        <w:t>citiem pašvaldības sniegtajiem pakalpojumiem</w:t>
      </w:r>
      <w:r>
        <w:rPr>
          <w:rFonts w:ascii="Times New Roman" w:eastAsia="MS Mincho" w:hAnsi="Times New Roman"/>
          <w:sz w:val="24"/>
          <w:szCs w:val="24"/>
        </w:rPr>
        <w:t>.</w:t>
      </w:r>
      <w:r w:rsidRPr="00373A79">
        <w:rPr>
          <w:rFonts w:ascii="Times New Roman" w:eastAsia="MS Mincho" w:hAnsi="Times New Roman"/>
          <w:sz w:val="24"/>
          <w:szCs w:val="24"/>
        </w:rPr>
        <w:t xml:space="preserve"> </w:t>
      </w:r>
      <w:r>
        <w:rPr>
          <w:rFonts w:ascii="Times New Roman" w:eastAsia="MS Mincho" w:hAnsi="Times New Roman"/>
          <w:sz w:val="24"/>
          <w:szCs w:val="24"/>
        </w:rPr>
        <w:t xml:space="preserve">Tā kā Madonas novada pašvaldības </w:t>
      </w:r>
      <w:r w:rsidRPr="00373A79">
        <w:rPr>
          <w:rFonts w:ascii="Times New Roman" w:eastAsia="MS Mincho" w:hAnsi="Times New Roman"/>
          <w:sz w:val="24"/>
          <w:szCs w:val="24"/>
        </w:rPr>
        <w:t xml:space="preserve">dome </w:t>
      </w:r>
      <w:r>
        <w:rPr>
          <w:rFonts w:ascii="Times New Roman" w:eastAsia="MS Mincho" w:hAnsi="Times New Roman"/>
          <w:sz w:val="24"/>
          <w:szCs w:val="24"/>
        </w:rPr>
        <w:t>tās nolikumā nav pilnvarojusi Madonas novada Centrālo administrāciju noteikt maksu par pašvaldības sniegtajiem pakalpojumiem, tad šāda lēmuma pieņemšana saskaņā ar Pašvaldību likuma 10.</w:t>
      </w:r>
      <w:r>
        <w:rPr>
          <w:rFonts w:ascii="Times New Roman" w:eastAsia="MS Mincho" w:hAnsi="Times New Roman"/>
          <w:sz w:val="24"/>
          <w:szCs w:val="24"/>
        </w:rPr>
        <w:t xml:space="preserve"> </w:t>
      </w:r>
      <w:r>
        <w:rPr>
          <w:rFonts w:ascii="Times New Roman" w:eastAsia="MS Mincho" w:hAnsi="Times New Roman"/>
          <w:sz w:val="24"/>
          <w:szCs w:val="24"/>
        </w:rPr>
        <w:t>panta pirmo daļu ir domes kompetencē.</w:t>
      </w:r>
    </w:p>
    <w:p w14:paraId="4E5B45A3" w14:textId="29EC5EB4" w:rsidR="00577860" w:rsidRDefault="00577860" w:rsidP="00577860">
      <w:pPr>
        <w:spacing w:after="0" w:line="240" w:lineRule="auto"/>
        <w:ind w:firstLine="567"/>
        <w:contextualSpacing/>
        <w:jc w:val="both"/>
        <w:rPr>
          <w:rFonts w:ascii="Times New Roman" w:eastAsia="MS Mincho" w:hAnsi="Times New Roman"/>
          <w:sz w:val="24"/>
          <w:szCs w:val="24"/>
        </w:rPr>
      </w:pPr>
      <w:r w:rsidRPr="0061462F">
        <w:rPr>
          <w:rFonts w:ascii="Times New Roman" w:eastAsia="MS Mincho" w:hAnsi="Times New Roman"/>
          <w:sz w:val="24"/>
          <w:szCs w:val="24"/>
        </w:rPr>
        <w:t>Madonas novada pašvaldībā saņemts Biedrības “Madona FK” 2026. gada 18. februāra iesniegums (pašvaldības lietvedībā reģistrēts 2026. gada 20. februārī ar Nr.</w:t>
      </w:r>
      <w:r>
        <w:rPr>
          <w:rFonts w:ascii="Times New Roman" w:eastAsia="MS Mincho" w:hAnsi="Times New Roman"/>
          <w:sz w:val="24"/>
          <w:szCs w:val="24"/>
        </w:rPr>
        <w:t xml:space="preserve"> </w:t>
      </w:r>
      <w:r w:rsidRPr="0061462F">
        <w:rPr>
          <w:rFonts w:ascii="Times New Roman" w:eastAsia="MS Mincho" w:hAnsi="Times New Roman"/>
          <w:sz w:val="24"/>
          <w:szCs w:val="24"/>
        </w:rPr>
        <w:t xml:space="preserve">2.1.3.1/26/718), kurā lūgts piešķirt biedrībai “Madona FK” 100 % maksas </w:t>
      </w:r>
      <w:r w:rsidRPr="00525B0F">
        <w:rPr>
          <w:rFonts w:ascii="Times New Roman" w:eastAsia="MS Mincho" w:hAnsi="Times New Roman"/>
          <w:sz w:val="24"/>
          <w:szCs w:val="24"/>
        </w:rPr>
        <w:t xml:space="preserve">atvieglojumus sporta zāļu nomai un pašvaldības </w:t>
      </w:r>
      <w:proofErr w:type="spellStart"/>
      <w:r w:rsidRPr="00525B0F">
        <w:rPr>
          <w:rFonts w:ascii="Times New Roman" w:eastAsia="MS Mincho" w:hAnsi="Times New Roman"/>
          <w:sz w:val="24"/>
          <w:szCs w:val="24"/>
        </w:rPr>
        <w:t>ārtelpas</w:t>
      </w:r>
      <w:proofErr w:type="spellEnd"/>
      <w:r w:rsidRPr="00525B0F">
        <w:rPr>
          <w:rFonts w:ascii="Times New Roman" w:eastAsia="MS Mincho" w:hAnsi="Times New Roman"/>
          <w:sz w:val="24"/>
          <w:szCs w:val="24"/>
        </w:rPr>
        <w:t xml:space="preserve"> sporta infrastruktūras izmantošanai. Šāda atvieglojuma piešķiršana </w:t>
      </w:r>
      <w:r w:rsidRPr="0061462F">
        <w:rPr>
          <w:rFonts w:ascii="Times New Roman" w:eastAsia="MS Mincho" w:hAnsi="Times New Roman"/>
          <w:sz w:val="24"/>
          <w:szCs w:val="24"/>
        </w:rPr>
        <w:t xml:space="preserve">biedrībai ļautu </w:t>
      </w:r>
      <w:r w:rsidRPr="009277C8">
        <w:rPr>
          <w:rFonts w:ascii="Times New Roman" w:eastAsia="MS Mincho" w:hAnsi="Times New Roman"/>
          <w:sz w:val="24"/>
          <w:szCs w:val="24"/>
        </w:rPr>
        <w:t>saglabāt esošo maksu par treniņiem,</w:t>
      </w:r>
      <w:r>
        <w:rPr>
          <w:rFonts w:ascii="Times New Roman" w:eastAsia="MS Mincho" w:hAnsi="Times New Roman"/>
          <w:sz w:val="24"/>
          <w:szCs w:val="24"/>
        </w:rPr>
        <w:t xml:space="preserve"> </w:t>
      </w:r>
      <w:r w:rsidRPr="009277C8">
        <w:rPr>
          <w:rFonts w:ascii="Times New Roman" w:eastAsia="MS Mincho" w:hAnsi="Times New Roman"/>
          <w:sz w:val="24"/>
          <w:szCs w:val="24"/>
        </w:rPr>
        <w:t>nodrošināt stabilu kluba darbību ilgtermiņā,</w:t>
      </w:r>
      <w:r>
        <w:rPr>
          <w:rFonts w:ascii="Times New Roman" w:eastAsia="MS Mincho" w:hAnsi="Times New Roman"/>
          <w:sz w:val="24"/>
          <w:szCs w:val="24"/>
        </w:rPr>
        <w:t xml:space="preserve"> </w:t>
      </w:r>
      <w:r w:rsidRPr="009277C8">
        <w:rPr>
          <w:rFonts w:ascii="Times New Roman" w:eastAsia="MS Mincho" w:hAnsi="Times New Roman"/>
          <w:sz w:val="24"/>
          <w:szCs w:val="24"/>
        </w:rPr>
        <w:t>novērst bērnu izstāšanos finansiālu iemeslu dēļ,</w:t>
      </w:r>
      <w:r>
        <w:rPr>
          <w:rFonts w:ascii="Times New Roman" w:eastAsia="MS Mincho" w:hAnsi="Times New Roman"/>
          <w:sz w:val="24"/>
          <w:szCs w:val="24"/>
        </w:rPr>
        <w:t xml:space="preserve"> </w:t>
      </w:r>
      <w:r w:rsidRPr="009277C8">
        <w:rPr>
          <w:rFonts w:ascii="Times New Roman" w:eastAsia="MS Mincho" w:hAnsi="Times New Roman"/>
          <w:sz w:val="24"/>
          <w:szCs w:val="24"/>
        </w:rPr>
        <w:t>paplašināt sporta pieejamību Madonas bērniem un jauniešiem</w:t>
      </w:r>
      <w:r>
        <w:rPr>
          <w:rFonts w:ascii="Times New Roman" w:eastAsia="MS Mincho" w:hAnsi="Times New Roman"/>
          <w:sz w:val="24"/>
          <w:szCs w:val="24"/>
        </w:rPr>
        <w:t xml:space="preserve"> un </w:t>
      </w:r>
      <w:r w:rsidRPr="0061462F">
        <w:rPr>
          <w:rFonts w:ascii="Times New Roman" w:eastAsia="MS Mincho" w:hAnsi="Times New Roman"/>
          <w:sz w:val="24"/>
          <w:szCs w:val="24"/>
        </w:rPr>
        <w:t>veicināt aktīvu un veselīgu bērnu un jauniešu attīstību Madonas novadā</w:t>
      </w:r>
      <w:r>
        <w:rPr>
          <w:rFonts w:ascii="Times New Roman" w:eastAsia="MS Mincho" w:hAnsi="Times New Roman"/>
          <w:sz w:val="24"/>
          <w:szCs w:val="24"/>
        </w:rPr>
        <w:t>.</w:t>
      </w:r>
    </w:p>
    <w:p w14:paraId="1E8B53C9" w14:textId="77777777" w:rsidR="00577860" w:rsidRDefault="00577860" w:rsidP="00577860">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Madonas novada pašvaldība biedrībai “Madona FK” ir izsniegusi trīs licences interešu izglītības programmu īstenošanai – futbola nodarbībām bērniem vecumā no 4 līdz 6 gadiem (nepārklājas ar Madonas novada pašvaldības profesionālās ievirzes sportā izglītības programmām), futbola nodarbības bērniem vecumā no 7 līdz 12 gadiem un futbola nodarbības jauniešiem vecumā no 13 līdz 16 gadiem (pārklājas ar Madonas novada pašvaldības profesionālās ievirzes sportā izglītības programmu piedāvājumu).</w:t>
      </w:r>
    </w:p>
    <w:p w14:paraId="621A0A21" w14:textId="77777777" w:rsidR="00577860" w:rsidRDefault="00577860" w:rsidP="00577860">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 xml:space="preserve">Izvērtējot biedrības “Madona FK” lūgumu un ņemot vērā Pašvaldību likuma 4. panta pirmās daļas 7. punktā noteikto, ka pašvaldības viena no autonomajām funkcijām ir </w:t>
      </w:r>
      <w:r w:rsidRPr="00A27A40">
        <w:rPr>
          <w:rFonts w:ascii="Times New Roman" w:eastAsia="MS Mincho" w:hAnsi="Times New Roman"/>
          <w:sz w:val="24"/>
          <w:szCs w:val="24"/>
        </w:rPr>
        <w:t>veicināt sporta attīstību, tostarp uzturēt un attīstīt pašvaldības sporta bāzes, atbalstīt sportistu un sporta klubu, arī profesionālo sporta klubu, darbību un sniegt atbalstu sporta pasākumu organizēšanai</w:t>
      </w:r>
      <w:r>
        <w:rPr>
          <w:rFonts w:ascii="Times New Roman" w:eastAsia="MS Mincho" w:hAnsi="Times New Roman"/>
          <w:sz w:val="24"/>
          <w:szCs w:val="24"/>
        </w:rPr>
        <w:t xml:space="preserve">, nepieciešami grozījumi Madonas novada pašvaldības maksas pakalpojumu cenrādī (19. pielikumā), </w:t>
      </w:r>
      <w:r w:rsidRPr="00373A79">
        <w:rPr>
          <w:rFonts w:ascii="Times New Roman" w:eastAsia="MS Mincho" w:hAnsi="Times New Roman"/>
          <w:sz w:val="24"/>
          <w:szCs w:val="24"/>
        </w:rPr>
        <w:t>grozot 11.</w:t>
      </w:r>
      <w:r>
        <w:rPr>
          <w:rFonts w:ascii="Times New Roman" w:eastAsia="MS Mincho" w:hAnsi="Times New Roman"/>
          <w:sz w:val="24"/>
          <w:szCs w:val="24"/>
        </w:rPr>
        <w:t> </w:t>
      </w:r>
      <w:r w:rsidRPr="00373A79">
        <w:rPr>
          <w:rFonts w:ascii="Times New Roman" w:eastAsia="MS Mincho" w:hAnsi="Times New Roman"/>
          <w:sz w:val="24"/>
          <w:szCs w:val="24"/>
        </w:rPr>
        <w:t xml:space="preserve">punktu un </w:t>
      </w:r>
      <w:r>
        <w:rPr>
          <w:rFonts w:ascii="Times New Roman" w:eastAsia="MS Mincho" w:hAnsi="Times New Roman"/>
          <w:sz w:val="24"/>
          <w:szCs w:val="24"/>
        </w:rPr>
        <w:t>attiecīgi</w:t>
      </w:r>
      <w:r w:rsidRPr="00373A79">
        <w:rPr>
          <w:rFonts w:ascii="Times New Roman" w:eastAsia="MS Mincho" w:hAnsi="Times New Roman"/>
          <w:sz w:val="24"/>
          <w:szCs w:val="24"/>
        </w:rPr>
        <w:t xml:space="preserve"> 12.</w:t>
      </w:r>
      <w:r>
        <w:rPr>
          <w:rFonts w:ascii="Times New Roman" w:eastAsia="MS Mincho" w:hAnsi="Times New Roman"/>
          <w:sz w:val="24"/>
          <w:szCs w:val="24"/>
        </w:rPr>
        <w:t> </w:t>
      </w:r>
      <w:r w:rsidRPr="00373A79">
        <w:rPr>
          <w:rFonts w:ascii="Times New Roman" w:eastAsia="MS Mincho" w:hAnsi="Times New Roman"/>
          <w:sz w:val="24"/>
          <w:szCs w:val="24"/>
        </w:rPr>
        <w:t>punktu izsakot jaunā redakcijā</w:t>
      </w:r>
      <w:r>
        <w:rPr>
          <w:rFonts w:ascii="Times New Roman" w:eastAsia="MS Mincho" w:hAnsi="Times New Roman"/>
          <w:sz w:val="24"/>
          <w:szCs w:val="24"/>
        </w:rPr>
        <w:t xml:space="preserve"> un piešķirot 80% atlaidi no telpu un </w:t>
      </w:r>
      <w:proofErr w:type="spellStart"/>
      <w:r>
        <w:rPr>
          <w:rFonts w:ascii="Times New Roman" w:eastAsia="MS Mincho" w:hAnsi="Times New Roman"/>
          <w:sz w:val="24"/>
          <w:szCs w:val="24"/>
        </w:rPr>
        <w:t>ārtelpu</w:t>
      </w:r>
      <w:proofErr w:type="spellEnd"/>
      <w:r>
        <w:rPr>
          <w:rFonts w:ascii="Times New Roman" w:eastAsia="MS Mincho" w:hAnsi="Times New Roman"/>
          <w:sz w:val="24"/>
          <w:szCs w:val="24"/>
        </w:rPr>
        <w:t xml:space="preserve"> maksas pakalpojumu nomas maksām – treniņu organizēšanai</w:t>
      </w:r>
      <w:r w:rsidRPr="00373A79">
        <w:rPr>
          <w:rFonts w:ascii="Times New Roman" w:eastAsia="MS Mincho" w:hAnsi="Times New Roman"/>
          <w:sz w:val="24"/>
          <w:szCs w:val="24"/>
        </w:rPr>
        <w:t>.</w:t>
      </w:r>
    </w:p>
    <w:p w14:paraId="1C03721A" w14:textId="77777777" w:rsidR="00577860" w:rsidRDefault="00577860" w:rsidP="00577860">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t>Madonas novada pašvaldības dome 2026. gada 26. februārī ar lēmumu Nr. 141 “</w:t>
      </w:r>
      <w:r w:rsidRPr="008E5D2E">
        <w:rPr>
          <w:rFonts w:ascii="Times New Roman" w:eastAsia="MS Mincho" w:hAnsi="Times New Roman"/>
          <w:sz w:val="24"/>
          <w:szCs w:val="24"/>
        </w:rPr>
        <w:t>Par grozījumiem Madonas novada pašvaldības domes 27.11.2025. lēmumā Nr. 430 “Par Madonas novada pašvaldības maksas pakalpojumu cenrāža apstiprināšanu”</w:t>
      </w:r>
      <w:r>
        <w:rPr>
          <w:rFonts w:ascii="Times New Roman" w:eastAsia="MS Mincho" w:hAnsi="Times New Roman"/>
          <w:sz w:val="24"/>
          <w:szCs w:val="24"/>
        </w:rPr>
        <w:t xml:space="preserve"> apstiprināja pirmsskolas vecuma izglītojamo likumisko pārstāvju </w:t>
      </w:r>
      <w:r w:rsidRPr="008E5D2E">
        <w:rPr>
          <w:rFonts w:ascii="Times New Roman" w:eastAsia="MS Mincho" w:hAnsi="Times New Roman"/>
          <w:sz w:val="24"/>
          <w:szCs w:val="24"/>
        </w:rPr>
        <w:t xml:space="preserve">līdzmaksājumu </w:t>
      </w:r>
      <w:r>
        <w:rPr>
          <w:rFonts w:ascii="Times New Roman" w:eastAsia="MS Mincho" w:hAnsi="Times New Roman"/>
          <w:sz w:val="24"/>
          <w:szCs w:val="24"/>
        </w:rPr>
        <w:t xml:space="preserve">laika periodam no </w:t>
      </w:r>
      <w:r w:rsidRPr="008E5D2E">
        <w:rPr>
          <w:rFonts w:ascii="Times New Roman" w:eastAsia="MS Mincho" w:hAnsi="Times New Roman"/>
          <w:sz w:val="24"/>
          <w:szCs w:val="24"/>
        </w:rPr>
        <w:t>1.</w:t>
      </w:r>
      <w:r>
        <w:rPr>
          <w:rFonts w:ascii="Times New Roman" w:eastAsia="MS Mincho" w:hAnsi="Times New Roman"/>
          <w:sz w:val="24"/>
          <w:szCs w:val="24"/>
        </w:rPr>
        <w:t> </w:t>
      </w:r>
      <w:r w:rsidRPr="008E5D2E">
        <w:rPr>
          <w:rFonts w:ascii="Times New Roman" w:eastAsia="MS Mincho" w:hAnsi="Times New Roman"/>
          <w:sz w:val="24"/>
          <w:szCs w:val="24"/>
        </w:rPr>
        <w:t>jūnija līdz 31.</w:t>
      </w:r>
      <w:r>
        <w:rPr>
          <w:rFonts w:ascii="Times New Roman" w:eastAsia="MS Mincho" w:hAnsi="Times New Roman"/>
          <w:sz w:val="24"/>
          <w:szCs w:val="24"/>
        </w:rPr>
        <w:t> </w:t>
      </w:r>
      <w:r w:rsidRPr="008E5D2E">
        <w:rPr>
          <w:rFonts w:ascii="Times New Roman" w:eastAsia="MS Mincho" w:hAnsi="Times New Roman"/>
          <w:sz w:val="24"/>
          <w:szCs w:val="24"/>
        </w:rPr>
        <w:t>augustam EUR 2,00 apmērā</w:t>
      </w:r>
      <w:r>
        <w:rPr>
          <w:rFonts w:ascii="Times New Roman" w:eastAsia="MS Mincho" w:hAnsi="Times New Roman"/>
          <w:sz w:val="24"/>
          <w:szCs w:val="24"/>
        </w:rPr>
        <w:t xml:space="preserve">, nosakot, ka 100% atlaide tiek piemērota </w:t>
      </w:r>
      <w:r w:rsidRPr="008E5D2E">
        <w:rPr>
          <w:rFonts w:ascii="Times New Roman" w:eastAsia="MS Mincho" w:hAnsi="Times New Roman"/>
          <w:sz w:val="24"/>
          <w:szCs w:val="24"/>
        </w:rPr>
        <w:t>personām, kurām</w:t>
      </w:r>
      <w:r>
        <w:rPr>
          <w:rFonts w:ascii="Times New Roman" w:eastAsia="MS Mincho" w:hAnsi="Times New Roman"/>
          <w:sz w:val="24"/>
          <w:szCs w:val="24"/>
        </w:rPr>
        <w:t xml:space="preserve"> </w:t>
      </w:r>
      <w:r w:rsidRPr="008E5D2E">
        <w:rPr>
          <w:rFonts w:ascii="Times New Roman" w:eastAsia="MS Mincho" w:hAnsi="Times New Roman"/>
          <w:sz w:val="24"/>
          <w:szCs w:val="24"/>
        </w:rPr>
        <w:t>normatīvajos aktos noteiktā kārtībā ir izsniegta derīga Latvijas Goda ģimenes apliecība.</w:t>
      </w:r>
    </w:p>
    <w:p w14:paraId="7F74E017" w14:textId="2D9C8165" w:rsidR="00577860" w:rsidRDefault="00577860" w:rsidP="00577860">
      <w:pPr>
        <w:spacing w:after="0" w:line="240" w:lineRule="auto"/>
        <w:ind w:firstLine="567"/>
        <w:contextualSpacing/>
        <w:jc w:val="both"/>
        <w:rPr>
          <w:rFonts w:ascii="Times New Roman" w:eastAsia="MS Mincho" w:hAnsi="Times New Roman"/>
          <w:sz w:val="24"/>
          <w:szCs w:val="24"/>
        </w:rPr>
      </w:pPr>
      <w:r>
        <w:rPr>
          <w:rFonts w:ascii="Times New Roman" w:eastAsia="MS Mincho" w:hAnsi="Times New Roman"/>
          <w:sz w:val="24"/>
          <w:szCs w:val="24"/>
        </w:rPr>
        <w:lastRenderedPageBreak/>
        <w:t xml:space="preserve">Madonas novada pašvaldības dibinātajā Dzelzavas Pakalnu pamatskolā, kas ir speciālās izglītības iestāde, arī tiek īstenota pirmsskolas izglītības programma. Saskaņā ar Ministru kabineta </w:t>
      </w:r>
      <w:r w:rsidRPr="008E5D2E">
        <w:rPr>
          <w:rFonts w:ascii="Times New Roman" w:eastAsia="MS Mincho" w:hAnsi="Times New Roman"/>
          <w:sz w:val="24"/>
          <w:szCs w:val="24"/>
        </w:rPr>
        <w:t>2016.</w:t>
      </w:r>
      <w:r>
        <w:rPr>
          <w:rFonts w:ascii="Times New Roman" w:eastAsia="MS Mincho" w:hAnsi="Times New Roman"/>
          <w:sz w:val="24"/>
          <w:szCs w:val="24"/>
        </w:rPr>
        <w:t> </w:t>
      </w:r>
      <w:r w:rsidRPr="008E5D2E">
        <w:rPr>
          <w:rFonts w:ascii="Times New Roman" w:eastAsia="MS Mincho" w:hAnsi="Times New Roman"/>
          <w:sz w:val="24"/>
          <w:szCs w:val="24"/>
        </w:rPr>
        <w:t>gada 15.</w:t>
      </w:r>
      <w:r>
        <w:rPr>
          <w:rFonts w:ascii="Times New Roman" w:eastAsia="MS Mincho" w:hAnsi="Times New Roman"/>
          <w:sz w:val="24"/>
          <w:szCs w:val="24"/>
        </w:rPr>
        <w:t> </w:t>
      </w:r>
      <w:r w:rsidRPr="008E5D2E">
        <w:rPr>
          <w:rFonts w:ascii="Times New Roman" w:eastAsia="MS Mincho" w:hAnsi="Times New Roman"/>
          <w:sz w:val="24"/>
          <w:szCs w:val="24"/>
        </w:rPr>
        <w:t>jūlij</w:t>
      </w:r>
      <w:r>
        <w:rPr>
          <w:rFonts w:ascii="Times New Roman" w:eastAsia="MS Mincho" w:hAnsi="Times New Roman"/>
          <w:sz w:val="24"/>
          <w:szCs w:val="24"/>
        </w:rPr>
        <w:t xml:space="preserve">a </w:t>
      </w:r>
      <w:r w:rsidRPr="008E5D2E">
        <w:rPr>
          <w:rFonts w:ascii="Times New Roman" w:eastAsia="MS Mincho" w:hAnsi="Times New Roman"/>
          <w:sz w:val="24"/>
          <w:szCs w:val="24"/>
        </w:rPr>
        <w:t>noteikumi</w:t>
      </w:r>
      <w:r>
        <w:rPr>
          <w:rFonts w:ascii="Times New Roman" w:eastAsia="MS Mincho" w:hAnsi="Times New Roman"/>
          <w:sz w:val="24"/>
          <w:szCs w:val="24"/>
        </w:rPr>
        <w:t>em</w:t>
      </w:r>
      <w:r w:rsidRPr="008E5D2E">
        <w:rPr>
          <w:rFonts w:ascii="Times New Roman" w:eastAsia="MS Mincho" w:hAnsi="Times New Roman"/>
          <w:sz w:val="24"/>
          <w:szCs w:val="24"/>
        </w:rPr>
        <w:t xml:space="preserve"> Nr.</w:t>
      </w:r>
      <w:r>
        <w:rPr>
          <w:rFonts w:ascii="Times New Roman" w:eastAsia="MS Mincho" w:hAnsi="Times New Roman"/>
          <w:sz w:val="24"/>
          <w:szCs w:val="24"/>
        </w:rPr>
        <w:t> </w:t>
      </w:r>
      <w:r w:rsidRPr="008E5D2E">
        <w:rPr>
          <w:rFonts w:ascii="Times New Roman" w:eastAsia="MS Mincho" w:hAnsi="Times New Roman"/>
          <w:sz w:val="24"/>
          <w:szCs w:val="24"/>
        </w:rPr>
        <w:t>477</w:t>
      </w:r>
      <w:r>
        <w:rPr>
          <w:rFonts w:ascii="Times New Roman" w:eastAsia="MS Mincho" w:hAnsi="Times New Roman"/>
          <w:sz w:val="24"/>
          <w:szCs w:val="24"/>
        </w:rPr>
        <w:t xml:space="preserve"> “</w:t>
      </w:r>
      <w:r w:rsidRPr="008E5D2E">
        <w:rPr>
          <w:rFonts w:ascii="Times New Roman" w:eastAsia="MS Mincho" w:hAnsi="Times New Roman"/>
          <w:sz w:val="24"/>
          <w:szCs w:val="24"/>
        </w:rPr>
        <w:t>Speciālās izglītības iestāžu un vispārējās izglītības iestāžu speciālās izglītības klašu (grupu) finansēšanas kārtība</w:t>
      </w:r>
      <w:r>
        <w:rPr>
          <w:rFonts w:ascii="Times New Roman" w:eastAsia="MS Mincho" w:hAnsi="Times New Roman"/>
          <w:sz w:val="24"/>
          <w:szCs w:val="24"/>
        </w:rPr>
        <w:t xml:space="preserve">” speciālo izglītības iestāžu izglītojamo uzturēšanas izdevumi, tajā skaitā izdevumi par ēdināšanu, tiek segti no valsts budžeta mērķdotācijas. Ņemot vērā minēto, ir nepieciešams precizēt </w:t>
      </w:r>
      <w:r w:rsidRPr="00540C75">
        <w:rPr>
          <w:rFonts w:ascii="Times New Roman" w:eastAsia="MS Mincho" w:hAnsi="Times New Roman"/>
          <w:sz w:val="24"/>
          <w:szCs w:val="24"/>
        </w:rPr>
        <w:t>Madonas novada pašvaldības maksas pakalpojumu cenrād</w:t>
      </w:r>
      <w:r>
        <w:rPr>
          <w:rFonts w:ascii="Times New Roman" w:eastAsia="MS Mincho" w:hAnsi="Times New Roman"/>
          <w:sz w:val="24"/>
          <w:szCs w:val="24"/>
        </w:rPr>
        <w:t>i</w:t>
      </w:r>
      <w:r w:rsidRPr="00540C75">
        <w:rPr>
          <w:rFonts w:ascii="Times New Roman" w:eastAsia="MS Mincho" w:hAnsi="Times New Roman"/>
          <w:sz w:val="24"/>
          <w:szCs w:val="24"/>
        </w:rPr>
        <w:t xml:space="preserve"> (19. pielikum</w:t>
      </w:r>
      <w:r>
        <w:rPr>
          <w:rFonts w:ascii="Times New Roman" w:eastAsia="MS Mincho" w:hAnsi="Times New Roman"/>
          <w:sz w:val="24"/>
          <w:szCs w:val="24"/>
        </w:rPr>
        <w:t>u</w:t>
      </w:r>
      <w:r w:rsidRPr="00540C75">
        <w:rPr>
          <w:rFonts w:ascii="Times New Roman" w:eastAsia="MS Mincho" w:hAnsi="Times New Roman"/>
          <w:sz w:val="24"/>
          <w:szCs w:val="24"/>
        </w:rPr>
        <w:t xml:space="preserve">), </w:t>
      </w:r>
      <w:r>
        <w:rPr>
          <w:rFonts w:ascii="Times New Roman" w:eastAsia="MS Mincho" w:hAnsi="Times New Roman"/>
          <w:sz w:val="24"/>
          <w:szCs w:val="24"/>
        </w:rPr>
        <w:t>papildinot to ar</w:t>
      </w:r>
      <w:r w:rsidRPr="00540C75">
        <w:rPr>
          <w:rFonts w:ascii="Times New Roman" w:eastAsia="MS Mincho" w:hAnsi="Times New Roman"/>
          <w:sz w:val="24"/>
          <w:szCs w:val="24"/>
        </w:rPr>
        <w:t xml:space="preserve"> </w:t>
      </w:r>
      <w:r>
        <w:rPr>
          <w:rFonts w:ascii="Times New Roman" w:eastAsia="MS Mincho" w:hAnsi="Times New Roman"/>
          <w:sz w:val="24"/>
          <w:szCs w:val="24"/>
        </w:rPr>
        <w:t>17.2.2</w:t>
      </w:r>
      <w:r w:rsidRPr="00540C75">
        <w:rPr>
          <w:rFonts w:ascii="Times New Roman" w:eastAsia="MS Mincho" w:hAnsi="Times New Roman"/>
          <w:sz w:val="24"/>
          <w:szCs w:val="24"/>
        </w:rPr>
        <w:t>. punktu</w:t>
      </w:r>
      <w:r>
        <w:rPr>
          <w:rFonts w:ascii="Times New Roman" w:eastAsia="MS Mincho" w:hAnsi="Times New Roman"/>
          <w:sz w:val="24"/>
          <w:szCs w:val="24"/>
        </w:rPr>
        <w:t xml:space="preserve">, kas noteiktu, ka </w:t>
      </w:r>
      <w:r w:rsidRPr="00540C75">
        <w:rPr>
          <w:rFonts w:ascii="Times New Roman" w:eastAsia="MS Mincho" w:hAnsi="Times New Roman"/>
          <w:sz w:val="24"/>
          <w:szCs w:val="24"/>
        </w:rPr>
        <w:t xml:space="preserve">100% atlaide tiek piemērota </w:t>
      </w:r>
      <w:r>
        <w:rPr>
          <w:rFonts w:ascii="Times New Roman" w:eastAsia="MS Mincho" w:hAnsi="Times New Roman"/>
          <w:sz w:val="24"/>
          <w:szCs w:val="24"/>
        </w:rPr>
        <w:t>izglītojamajiem</w:t>
      </w:r>
      <w:r w:rsidRPr="00540C75">
        <w:rPr>
          <w:rFonts w:ascii="Times New Roman" w:eastAsia="MS Mincho" w:hAnsi="Times New Roman"/>
          <w:sz w:val="24"/>
          <w:szCs w:val="24"/>
        </w:rPr>
        <w:t>, k</w:t>
      </w:r>
      <w:r>
        <w:rPr>
          <w:rFonts w:ascii="Times New Roman" w:eastAsia="MS Mincho" w:hAnsi="Times New Roman"/>
          <w:sz w:val="24"/>
          <w:szCs w:val="24"/>
        </w:rPr>
        <w:t>as pirmsskolas izglītības programmu apgūst izglītības iestādē, kurā ēdināšanas izdevumi tiek segti no valsts budžeta mērķdotācijas.</w:t>
      </w:r>
    </w:p>
    <w:p w14:paraId="5444A1D9" w14:textId="3F9163D9" w:rsidR="00577860" w:rsidRDefault="00577860" w:rsidP="00577860">
      <w:pPr>
        <w:spacing w:after="0" w:line="240" w:lineRule="auto"/>
        <w:ind w:firstLine="720"/>
        <w:jc w:val="both"/>
        <w:rPr>
          <w:rFonts w:ascii="Times New Roman" w:eastAsia="Calibri" w:hAnsi="Times New Roman" w:cs="Times New Roman"/>
          <w:b/>
          <w:kern w:val="0"/>
          <w:sz w:val="24"/>
          <w:szCs w:val="24"/>
          <w:lang w:eastAsia="hi-IN" w:bidi="hi-IN"/>
          <w14:ligatures w14:val="none"/>
        </w:rPr>
      </w:pPr>
      <w:bookmarkStart w:id="633" w:name="_Hlk195789801"/>
      <w:r w:rsidRPr="00F92752">
        <w:rPr>
          <w:rFonts w:ascii="Times New Roman" w:hAnsi="Times New Roman"/>
          <w:sz w:val="24"/>
          <w:szCs w:val="24"/>
        </w:rPr>
        <w:t>Noklausījusies sniegto informāciju</w:t>
      </w:r>
      <w:bookmarkStart w:id="634" w:name="_Hlk195789672"/>
      <w:r w:rsidRPr="00F92752">
        <w:rPr>
          <w:rFonts w:ascii="Times New Roman" w:hAnsi="Times New Roman"/>
          <w:sz w:val="24"/>
          <w:szCs w:val="24"/>
        </w:rPr>
        <w:t xml:space="preserve">, ņemot vērā </w:t>
      </w:r>
      <w:r>
        <w:rPr>
          <w:rFonts w:ascii="Times New Roman" w:hAnsi="Times New Roman"/>
          <w:sz w:val="24"/>
          <w:szCs w:val="24"/>
        </w:rPr>
        <w:t>19</w:t>
      </w:r>
      <w:r w:rsidRPr="00F92752">
        <w:rPr>
          <w:rFonts w:ascii="Times New Roman" w:hAnsi="Times New Roman"/>
          <w:sz w:val="24"/>
          <w:szCs w:val="24"/>
        </w:rPr>
        <w:t>.</w:t>
      </w:r>
      <w:r>
        <w:rPr>
          <w:rFonts w:ascii="Times New Roman" w:hAnsi="Times New Roman"/>
          <w:sz w:val="24"/>
          <w:szCs w:val="24"/>
        </w:rPr>
        <w:t>03</w:t>
      </w:r>
      <w:r w:rsidRPr="00F92752">
        <w:rPr>
          <w:rFonts w:ascii="Times New Roman" w:hAnsi="Times New Roman"/>
          <w:sz w:val="24"/>
          <w:szCs w:val="24"/>
        </w:rPr>
        <w:t>.2026. Izglītības un jaunatnes</w:t>
      </w:r>
      <w:r w:rsidRPr="00F92752">
        <w:rPr>
          <w:rFonts w:ascii="Times New Roman" w:eastAsia="Times New Roman" w:hAnsi="Times New Roman"/>
          <w:sz w:val="24"/>
          <w:szCs w:val="24"/>
          <w:lang w:eastAsia="lv-LV"/>
        </w:rPr>
        <w:t xml:space="preserve"> </w:t>
      </w:r>
      <w:r w:rsidRPr="00F92752">
        <w:rPr>
          <w:rFonts w:ascii="Times New Roman" w:hAnsi="Times New Roman"/>
          <w:sz w:val="24"/>
          <w:szCs w:val="24"/>
        </w:rPr>
        <w:t xml:space="preserve">lietu komitejas </w:t>
      </w:r>
      <w:bookmarkEnd w:id="633"/>
      <w:bookmarkEnd w:id="634"/>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atklāti balsojot: PAR – 1</w:t>
      </w:r>
      <w:r>
        <w:rPr>
          <w:rFonts w:ascii="Times New Roman" w:hAnsi="Times New Roman" w:cs="Times New Roman"/>
          <w:b/>
          <w:kern w:val="0"/>
          <w:sz w:val="24"/>
          <w:szCs w:val="24"/>
          <w14:ligatures w14:val="none"/>
        </w:rPr>
        <w:t xml:space="preserve">6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xml:space="preserve">, ATTURAS – </w:t>
      </w:r>
      <w:r>
        <w:rPr>
          <w:rFonts w:ascii="Times New Roman" w:hAnsi="Times New Roman" w:cs="Times New Roman"/>
          <w:b/>
          <w:kern w:val="0"/>
          <w:sz w:val="24"/>
          <w:szCs w:val="24"/>
          <w14:ligatures w14:val="none"/>
        </w:rPr>
        <w:t xml:space="preserve">1 </w:t>
      </w:r>
      <w:r>
        <w:rPr>
          <w:rFonts w:ascii="Times New Roman" w:hAnsi="Times New Roman" w:cs="Times New Roman"/>
          <w:bCs/>
          <w:kern w:val="0"/>
          <w:sz w:val="24"/>
          <w:szCs w:val="24"/>
          <w14:ligatures w14:val="none"/>
        </w:rPr>
        <w:t>(Zigfrīds Gora)</w:t>
      </w:r>
      <w:r w:rsidRPr="009A2707">
        <w:rPr>
          <w:rFonts w:ascii="Times New Roman" w:hAnsi="Times New Roman" w:cs="Times New Roman"/>
          <w:b/>
          <w:kern w:val="0"/>
          <w:sz w:val="24"/>
          <w:szCs w:val="24"/>
          <w14:ligatures w14:val="none"/>
        </w:rPr>
        <w:t>,</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5EA138E2" w14:textId="6801F18C" w:rsidR="00577860" w:rsidRPr="00512112" w:rsidRDefault="00577860" w:rsidP="00577860">
      <w:pPr>
        <w:spacing w:after="0" w:line="240" w:lineRule="auto"/>
        <w:ind w:firstLine="720"/>
        <w:jc w:val="both"/>
        <w:rPr>
          <w:rFonts w:ascii="Times New Roman" w:eastAsia="MS Mincho" w:hAnsi="Times New Roman"/>
          <w:sz w:val="24"/>
          <w:szCs w:val="24"/>
        </w:rPr>
      </w:pPr>
    </w:p>
    <w:p w14:paraId="6A1017CE" w14:textId="77777777" w:rsidR="00577860" w:rsidRPr="00373A79" w:rsidRDefault="00577860" w:rsidP="00577860">
      <w:pPr>
        <w:numPr>
          <w:ilvl w:val="0"/>
          <w:numId w:val="14"/>
        </w:numPr>
        <w:tabs>
          <w:tab w:val="left" w:pos="284"/>
        </w:tabs>
        <w:suppressAutoHyphens/>
        <w:spacing w:after="0" w:line="240" w:lineRule="auto"/>
        <w:ind w:left="0" w:firstLine="0"/>
        <w:contextualSpacing/>
        <w:jc w:val="both"/>
        <w:rPr>
          <w:rFonts w:ascii="Times New Roman" w:hAnsi="Times New Roman"/>
          <w:sz w:val="24"/>
          <w:szCs w:val="24"/>
        </w:rPr>
      </w:pPr>
      <w:r w:rsidRPr="00373A79">
        <w:rPr>
          <w:rFonts w:ascii="Times New Roman" w:hAnsi="Times New Roman"/>
          <w:sz w:val="24"/>
          <w:szCs w:val="24"/>
        </w:rPr>
        <w:t>Grozīt Madonas novada pašvaldības domes 2025.</w:t>
      </w:r>
      <w:r>
        <w:rPr>
          <w:rFonts w:ascii="Times New Roman" w:hAnsi="Times New Roman"/>
          <w:sz w:val="24"/>
          <w:szCs w:val="24"/>
        </w:rPr>
        <w:t> gada 27. novembra</w:t>
      </w:r>
      <w:r w:rsidRPr="00373A79">
        <w:rPr>
          <w:rFonts w:ascii="Times New Roman" w:hAnsi="Times New Roman"/>
          <w:sz w:val="24"/>
          <w:szCs w:val="24"/>
        </w:rPr>
        <w:t xml:space="preserve"> lēmum</w:t>
      </w:r>
      <w:r>
        <w:rPr>
          <w:rFonts w:ascii="Times New Roman" w:hAnsi="Times New Roman"/>
          <w:sz w:val="24"/>
          <w:szCs w:val="24"/>
        </w:rPr>
        <w:t>u</w:t>
      </w:r>
      <w:r w:rsidRPr="00373A79">
        <w:rPr>
          <w:rFonts w:ascii="Times New Roman" w:hAnsi="Times New Roman"/>
          <w:sz w:val="24"/>
          <w:szCs w:val="24"/>
        </w:rPr>
        <w:t xml:space="preserve"> Nr.</w:t>
      </w:r>
      <w:r>
        <w:rPr>
          <w:rFonts w:ascii="Times New Roman" w:hAnsi="Times New Roman"/>
          <w:sz w:val="24"/>
          <w:szCs w:val="24"/>
        </w:rPr>
        <w:t> </w:t>
      </w:r>
      <w:r w:rsidRPr="00373A79">
        <w:rPr>
          <w:rFonts w:ascii="Times New Roman" w:hAnsi="Times New Roman"/>
          <w:sz w:val="24"/>
          <w:szCs w:val="24"/>
        </w:rPr>
        <w:t>430 “Par Madonas novada pašvaldības maksas pakalpojumu cenrāža apstiprināšanu” (protokols Nr.</w:t>
      </w:r>
      <w:r>
        <w:rPr>
          <w:rFonts w:ascii="Times New Roman" w:hAnsi="Times New Roman"/>
          <w:sz w:val="24"/>
          <w:szCs w:val="24"/>
        </w:rPr>
        <w:t> </w:t>
      </w:r>
      <w:r w:rsidRPr="00373A79">
        <w:rPr>
          <w:rFonts w:ascii="Times New Roman" w:hAnsi="Times New Roman"/>
          <w:sz w:val="24"/>
          <w:szCs w:val="24"/>
        </w:rPr>
        <w:t>12, 80.</w:t>
      </w:r>
      <w:r>
        <w:rPr>
          <w:rFonts w:ascii="Times New Roman" w:hAnsi="Times New Roman"/>
          <w:sz w:val="24"/>
          <w:szCs w:val="24"/>
        </w:rPr>
        <w:t> </w:t>
      </w:r>
      <w:r w:rsidRPr="00373A79">
        <w:rPr>
          <w:rFonts w:ascii="Times New Roman" w:hAnsi="Times New Roman"/>
          <w:sz w:val="24"/>
          <w:szCs w:val="24"/>
        </w:rPr>
        <w:t>p.),</w:t>
      </w:r>
      <w:r>
        <w:rPr>
          <w:rFonts w:ascii="Times New Roman" w:hAnsi="Times New Roman"/>
          <w:sz w:val="24"/>
          <w:szCs w:val="24"/>
        </w:rPr>
        <w:t xml:space="preserve"> papildinot tā</w:t>
      </w:r>
      <w:r w:rsidRPr="00373A79">
        <w:rPr>
          <w:rFonts w:ascii="Times New Roman" w:hAnsi="Times New Roman"/>
          <w:sz w:val="24"/>
          <w:szCs w:val="24"/>
        </w:rPr>
        <w:t xml:space="preserve"> pielikum</w:t>
      </w:r>
      <w:r>
        <w:rPr>
          <w:rFonts w:ascii="Times New Roman" w:hAnsi="Times New Roman"/>
          <w:sz w:val="24"/>
          <w:szCs w:val="24"/>
        </w:rPr>
        <w:t>u</w:t>
      </w:r>
      <w:r w:rsidRPr="00373A79">
        <w:rPr>
          <w:rFonts w:ascii="Times New Roman" w:hAnsi="Times New Roman"/>
          <w:sz w:val="24"/>
          <w:szCs w:val="24"/>
        </w:rPr>
        <w:t xml:space="preserve"> Nr.</w:t>
      </w:r>
      <w:r>
        <w:rPr>
          <w:rFonts w:ascii="Times New Roman" w:hAnsi="Times New Roman"/>
          <w:sz w:val="24"/>
          <w:szCs w:val="24"/>
        </w:rPr>
        <w:t> </w:t>
      </w:r>
      <w:r w:rsidRPr="00373A79">
        <w:rPr>
          <w:rFonts w:ascii="Times New Roman" w:hAnsi="Times New Roman"/>
          <w:sz w:val="24"/>
          <w:szCs w:val="24"/>
        </w:rPr>
        <w:t xml:space="preserve">19 “Madonas novadā sniegtie maksas pakalpojumi un to cenrādis” </w:t>
      </w:r>
      <w:r>
        <w:rPr>
          <w:rFonts w:ascii="Times New Roman" w:hAnsi="Times New Roman"/>
          <w:sz w:val="24"/>
          <w:szCs w:val="24"/>
        </w:rPr>
        <w:t xml:space="preserve">ar 11.5. apakšpunktu un attiecīgi </w:t>
      </w:r>
      <w:r w:rsidRPr="007461CF">
        <w:rPr>
          <w:rFonts w:ascii="Times New Roman" w:hAnsi="Times New Roman"/>
          <w:sz w:val="24"/>
          <w:szCs w:val="24"/>
        </w:rPr>
        <w:t>12.</w:t>
      </w:r>
      <w:r>
        <w:rPr>
          <w:rFonts w:ascii="Times New Roman" w:hAnsi="Times New Roman"/>
          <w:sz w:val="24"/>
          <w:szCs w:val="24"/>
        </w:rPr>
        <w:t xml:space="preserve"> un 17. punktu izsakot jaunā</w:t>
      </w:r>
      <w:r w:rsidRPr="00373A79">
        <w:rPr>
          <w:rFonts w:ascii="Times New Roman" w:hAnsi="Times New Roman"/>
          <w:sz w:val="24"/>
          <w:szCs w:val="24"/>
        </w:rPr>
        <w:t xml:space="preserve"> redakcijā:</w:t>
      </w:r>
    </w:p>
    <w:p w14:paraId="066E34A6" w14:textId="77777777" w:rsidR="00577860" w:rsidRPr="00373A79" w:rsidRDefault="00577860" w:rsidP="00577860">
      <w:pPr>
        <w:numPr>
          <w:ilvl w:val="0"/>
          <w:numId w:val="11"/>
        </w:numPr>
        <w:suppressAutoHyphens/>
        <w:spacing w:after="0" w:line="240" w:lineRule="auto"/>
        <w:ind w:leftChars="-1" w:left="0" w:hangingChars="1" w:hanging="2"/>
        <w:contextualSpacing/>
        <w:textDirection w:val="btLr"/>
        <w:textAlignment w:val="top"/>
        <w:outlineLvl w:val="0"/>
        <w:rPr>
          <w:rFonts w:ascii="Times New Roman" w:eastAsia="Times New Roman" w:hAnsi="Times New Roman"/>
          <w:sz w:val="24"/>
          <w:szCs w:val="24"/>
          <w:lang w:eastAsia="ar-SA"/>
        </w:rPr>
      </w:pPr>
    </w:p>
    <w:tbl>
      <w:tblPr>
        <w:tblW w:w="10314" w:type="dxa"/>
        <w:tblInd w:w="-459" w:type="dxa"/>
        <w:tblLook w:val="04A0" w:firstRow="1" w:lastRow="0" w:firstColumn="1" w:lastColumn="0" w:noHBand="0" w:noVBand="1"/>
      </w:tblPr>
      <w:tblGrid>
        <w:gridCol w:w="943"/>
        <w:gridCol w:w="4047"/>
        <w:gridCol w:w="1985"/>
        <w:gridCol w:w="1134"/>
        <w:gridCol w:w="883"/>
        <w:gridCol w:w="1322"/>
      </w:tblGrid>
      <w:tr w:rsidR="00577860" w:rsidRPr="00373A79" w14:paraId="55C1CDA7" w14:textId="77777777" w:rsidTr="00506EDE">
        <w:trPr>
          <w:trHeight w:val="570"/>
        </w:trPr>
        <w:tc>
          <w:tcPr>
            <w:tcW w:w="943" w:type="dxa"/>
            <w:tcBorders>
              <w:top w:val="single" w:sz="4" w:space="0" w:color="auto"/>
              <w:left w:val="single" w:sz="4" w:space="0" w:color="auto"/>
              <w:bottom w:val="single" w:sz="4" w:space="0" w:color="auto"/>
              <w:right w:val="single" w:sz="4" w:space="0" w:color="auto"/>
            </w:tcBorders>
            <w:noWrap/>
            <w:vAlign w:val="center"/>
            <w:hideMark/>
          </w:tcPr>
          <w:p w14:paraId="4CE66C9E"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proofErr w:type="spellStart"/>
            <w:r w:rsidRPr="00373A79">
              <w:rPr>
                <w:rFonts w:ascii="Times New Roman" w:eastAsia="Times New Roman" w:hAnsi="Times New Roman"/>
                <w:b/>
                <w:bCs/>
                <w:sz w:val="24"/>
                <w:szCs w:val="24"/>
                <w:lang w:eastAsia="lv-LV"/>
              </w:rPr>
              <w:t>Nr.p.k</w:t>
            </w:r>
            <w:proofErr w:type="spellEnd"/>
            <w:r w:rsidRPr="00373A79">
              <w:rPr>
                <w:rFonts w:ascii="Times New Roman" w:eastAsia="Times New Roman" w:hAnsi="Times New Roman"/>
                <w:b/>
                <w:bCs/>
                <w:sz w:val="24"/>
                <w:szCs w:val="24"/>
                <w:lang w:eastAsia="lv-LV"/>
              </w:rPr>
              <w:t>.</w:t>
            </w:r>
          </w:p>
        </w:tc>
        <w:tc>
          <w:tcPr>
            <w:tcW w:w="4047" w:type="dxa"/>
            <w:tcBorders>
              <w:top w:val="single" w:sz="4" w:space="0" w:color="auto"/>
              <w:left w:val="nil"/>
              <w:bottom w:val="single" w:sz="4" w:space="0" w:color="auto"/>
              <w:right w:val="single" w:sz="4" w:space="0" w:color="000000"/>
            </w:tcBorders>
            <w:noWrap/>
            <w:vAlign w:val="center"/>
            <w:hideMark/>
          </w:tcPr>
          <w:p w14:paraId="3EE1B899"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Pakalpojuma veids</w:t>
            </w:r>
          </w:p>
        </w:tc>
        <w:tc>
          <w:tcPr>
            <w:tcW w:w="1985" w:type="dxa"/>
            <w:tcBorders>
              <w:top w:val="single" w:sz="4" w:space="0" w:color="auto"/>
              <w:left w:val="nil"/>
              <w:bottom w:val="single" w:sz="4" w:space="0" w:color="auto"/>
              <w:right w:val="single" w:sz="4" w:space="0" w:color="auto"/>
            </w:tcBorders>
            <w:noWrap/>
            <w:vAlign w:val="center"/>
            <w:hideMark/>
          </w:tcPr>
          <w:p w14:paraId="74739F32"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Mērvienība</w:t>
            </w:r>
          </w:p>
        </w:tc>
        <w:tc>
          <w:tcPr>
            <w:tcW w:w="1134" w:type="dxa"/>
            <w:tcBorders>
              <w:top w:val="single" w:sz="4" w:space="0" w:color="auto"/>
              <w:left w:val="nil"/>
              <w:bottom w:val="single" w:sz="4" w:space="0" w:color="auto"/>
              <w:right w:val="single" w:sz="4" w:space="0" w:color="auto"/>
            </w:tcBorders>
            <w:vAlign w:val="center"/>
            <w:hideMark/>
          </w:tcPr>
          <w:p w14:paraId="12AF244C"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Cena bez PVN (EUR)</w:t>
            </w:r>
          </w:p>
        </w:tc>
        <w:tc>
          <w:tcPr>
            <w:tcW w:w="883" w:type="dxa"/>
            <w:tcBorders>
              <w:top w:val="single" w:sz="4" w:space="0" w:color="auto"/>
              <w:left w:val="nil"/>
              <w:bottom w:val="single" w:sz="4" w:space="0" w:color="auto"/>
              <w:right w:val="single" w:sz="4" w:space="0" w:color="auto"/>
            </w:tcBorders>
            <w:vAlign w:val="center"/>
            <w:hideMark/>
          </w:tcPr>
          <w:p w14:paraId="64103712"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PVN (EUR)</w:t>
            </w:r>
          </w:p>
        </w:tc>
        <w:tc>
          <w:tcPr>
            <w:tcW w:w="1322" w:type="dxa"/>
            <w:tcBorders>
              <w:top w:val="single" w:sz="4" w:space="0" w:color="auto"/>
              <w:left w:val="nil"/>
              <w:bottom w:val="single" w:sz="4" w:space="0" w:color="auto"/>
              <w:right w:val="single" w:sz="4" w:space="0" w:color="auto"/>
            </w:tcBorders>
            <w:vAlign w:val="center"/>
            <w:hideMark/>
          </w:tcPr>
          <w:p w14:paraId="5D1DA7F8" w14:textId="77777777" w:rsidR="00577860" w:rsidRPr="00373A79" w:rsidRDefault="00577860" w:rsidP="00506EDE">
            <w:pPr>
              <w:spacing w:after="0" w:line="240" w:lineRule="auto"/>
              <w:contextualSpacing/>
              <w:jc w:val="center"/>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Cena kopā  ar PVN (EUR)</w:t>
            </w:r>
          </w:p>
        </w:tc>
      </w:tr>
      <w:tr w:rsidR="00577860" w:rsidRPr="0034611C" w14:paraId="7ED5D166" w14:textId="77777777" w:rsidTr="00506EDE">
        <w:trPr>
          <w:trHeight w:val="481"/>
        </w:trPr>
        <w:tc>
          <w:tcPr>
            <w:tcW w:w="943" w:type="dxa"/>
            <w:tcBorders>
              <w:top w:val="single" w:sz="4" w:space="0" w:color="auto"/>
              <w:left w:val="single" w:sz="4" w:space="0" w:color="auto"/>
              <w:bottom w:val="nil"/>
              <w:right w:val="single" w:sz="4" w:space="0" w:color="auto"/>
            </w:tcBorders>
            <w:shd w:val="clear" w:color="auto" w:fill="E2EFD9" w:themeFill="accent6" w:themeFillTint="33"/>
            <w:noWrap/>
            <w:vAlign w:val="center"/>
          </w:tcPr>
          <w:p w14:paraId="06FB637A"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b/>
                <w:bCs/>
                <w:sz w:val="24"/>
                <w:szCs w:val="24"/>
              </w:rPr>
              <w:t>11.</w:t>
            </w:r>
          </w:p>
        </w:tc>
        <w:tc>
          <w:tcPr>
            <w:tcW w:w="9371" w:type="dxa"/>
            <w:gridSpan w:val="5"/>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523F0B2" w14:textId="77777777" w:rsidR="00577860" w:rsidRPr="0034611C" w:rsidRDefault="00577860" w:rsidP="00506EDE">
            <w:pPr>
              <w:spacing w:after="0" w:line="240" w:lineRule="auto"/>
              <w:contextualSpacing/>
              <w:rPr>
                <w:rFonts w:ascii="Times New Roman" w:eastAsia="Times New Roman" w:hAnsi="Times New Roman"/>
                <w:b/>
                <w:bCs/>
                <w:sz w:val="24"/>
                <w:szCs w:val="24"/>
                <w:lang w:eastAsia="lv-LV"/>
              </w:rPr>
            </w:pPr>
            <w:r w:rsidRPr="0034611C">
              <w:rPr>
                <w:rFonts w:ascii="Times New Roman" w:hAnsi="Times New Roman"/>
                <w:b/>
                <w:bCs/>
                <w:sz w:val="24"/>
                <w:szCs w:val="24"/>
              </w:rPr>
              <w:t xml:space="preserve">Gida pakalpojums un ekskursiju vadīšana Madonas novada </w:t>
            </w:r>
            <w:proofErr w:type="spellStart"/>
            <w:r w:rsidRPr="0034611C">
              <w:rPr>
                <w:rFonts w:ascii="Times New Roman" w:hAnsi="Times New Roman"/>
                <w:b/>
                <w:bCs/>
                <w:sz w:val="24"/>
                <w:szCs w:val="24"/>
              </w:rPr>
              <w:t>ārtelpā</w:t>
            </w:r>
            <w:proofErr w:type="spellEnd"/>
            <w:r w:rsidRPr="0034611C">
              <w:rPr>
                <w:rFonts w:ascii="Times New Roman" w:hAnsi="Times New Roman"/>
                <w:b/>
                <w:bCs/>
                <w:sz w:val="24"/>
                <w:szCs w:val="24"/>
              </w:rPr>
              <w:t>:</w:t>
            </w:r>
            <w:r w:rsidRPr="0034611C">
              <w:rPr>
                <w:rFonts w:ascii="Times New Roman" w:hAnsi="Times New Roman"/>
                <w:sz w:val="24"/>
                <w:szCs w:val="24"/>
              </w:rPr>
              <w:t> </w:t>
            </w:r>
          </w:p>
        </w:tc>
      </w:tr>
      <w:tr w:rsidR="00577860" w:rsidRPr="0034611C" w14:paraId="26760EF8" w14:textId="77777777" w:rsidTr="00506EDE">
        <w:trPr>
          <w:trHeight w:val="570"/>
        </w:trPr>
        <w:tc>
          <w:tcPr>
            <w:tcW w:w="943" w:type="dxa"/>
            <w:tcBorders>
              <w:top w:val="single" w:sz="4" w:space="0" w:color="auto"/>
              <w:left w:val="single" w:sz="4" w:space="0" w:color="auto"/>
              <w:bottom w:val="nil"/>
              <w:right w:val="single" w:sz="4" w:space="0" w:color="auto"/>
            </w:tcBorders>
            <w:noWrap/>
            <w:vAlign w:val="bottom"/>
          </w:tcPr>
          <w:p w14:paraId="6BCF3641"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11.1.</w:t>
            </w:r>
          </w:p>
        </w:tc>
        <w:tc>
          <w:tcPr>
            <w:tcW w:w="4047" w:type="dxa"/>
            <w:tcBorders>
              <w:top w:val="single" w:sz="4" w:space="0" w:color="auto"/>
              <w:left w:val="nil"/>
              <w:bottom w:val="single" w:sz="4" w:space="0" w:color="auto"/>
              <w:right w:val="single" w:sz="4" w:space="0" w:color="000000"/>
            </w:tcBorders>
            <w:noWrap/>
            <w:vAlign w:val="center"/>
          </w:tcPr>
          <w:p w14:paraId="076153BA" w14:textId="77777777" w:rsidR="00577860" w:rsidRPr="0034611C" w:rsidRDefault="00577860" w:rsidP="00506EDE">
            <w:pPr>
              <w:spacing w:after="0" w:line="240" w:lineRule="auto"/>
              <w:contextualSpacing/>
              <w:rPr>
                <w:rFonts w:ascii="Times New Roman" w:eastAsia="Times New Roman" w:hAnsi="Times New Roman"/>
                <w:b/>
                <w:bCs/>
                <w:sz w:val="24"/>
                <w:szCs w:val="24"/>
                <w:lang w:eastAsia="lv-LV"/>
              </w:rPr>
            </w:pPr>
            <w:r w:rsidRPr="0034611C">
              <w:rPr>
                <w:rFonts w:ascii="Times New Roman" w:hAnsi="Times New Roman"/>
                <w:sz w:val="24"/>
                <w:szCs w:val="24"/>
              </w:rPr>
              <w:t>latviešu valodā grupai līdz 29 personām</w:t>
            </w:r>
          </w:p>
        </w:tc>
        <w:tc>
          <w:tcPr>
            <w:tcW w:w="1985" w:type="dxa"/>
            <w:tcBorders>
              <w:top w:val="single" w:sz="4" w:space="0" w:color="auto"/>
              <w:left w:val="nil"/>
              <w:bottom w:val="nil"/>
              <w:right w:val="single" w:sz="4" w:space="0" w:color="auto"/>
            </w:tcBorders>
            <w:noWrap/>
            <w:vAlign w:val="center"/>
          </w:tcPr>
          <w:p w14:paraId="3BD5C0A4"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124C24A7"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20,66</w:t>
            </w:r>
          </w:p>
        </w:tc>
        <w:tc>
          <w:tcPr>
            <w:tcW w:w="883" w:type="dxa"/>
            <w:tcBorders>
              <w:top w:val="single" w:sz="4" w:space="0" w:color="auto"/>
              <w:left w:val="nil"/>
              <w:bottom w:val="nil"/>
              <w:right w:val="single" w:sz="4" w:space="0" w:color="auto"/>
            </w:tcBorders>
            <w:vAlign w:val="center"/>
          </w:tcPr>
          <w:p w14:paraId="0E26E2AD"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4,34</w:t>
            </w:r>
          </w:p>
        </w:tc>
        <w:tc>
          <w:tcPr>
            <w:tcW w:w="1322" w:type="dxa"/>
            <w:tcBorders>
              <w:top w:val="single" w:sz="4" w:space="0" w:color="auto"/>
              <w:left w:val="nil"/>
              <w:bottom w:val="nil"/>
              <w:right w:val="single" w:sz="4" w:space="0" w:color="auto"/>
            </w:tcBorders>
            <w:vAlign w:val="center"/>
          </w:tcPr>
          <w:p w14:paraId="04D2CFAF"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25,00</w:t>
            </w:r>
          </w:p>
        </w:tc>
      </w:tr>
      <w:tr w:rsidR="00577860" w:rsidRPr="0034611C" w14:paraId="255538E6" w14:textId="77777777" w:rsidTr="00506EDE">
        <w:trPr>
          <w:trHeight w:val="570"/>
        </w:trPr>
        <w:tc>
          <w:tcPr>
            <w:tcW w:w="943" w:type="dxa"/>
            <w:tcBorders>
              <w:top w:val="single" w:sz="4" w:space="0" w:color="auto"/>
              <w:left w:val="single" w:sz="4" w:space="0" w:color="auto"/>
              <w:bottom w:val="nil"/>
              <w:right w:val="single" w:sz="4" w:space="0" w:color="auto"/>
            </w:tcBorders>
            <w:noWrap/>
            <w:vAlign w:val="bottom"/>
          </w:tcPr>
          <w:p w14:paraId="1A2901E2"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11.2.</w:t>
            </w:r>
          </w:p>
        </w:tc>
        <w:tc>
          <w:tcPr>
            <w:tcW w:w="4047" w:type="dxa"/>
            <w:tcBorders>
              <w:top w:val="single" w:sz="4" w:space="0" w:color="auto"/>
              <w:left w:val="nil"/>
              <w:bottom w:val="single" w:sz="4" w:space="0" w:color="auto"/>
              <w:right w:val="single" w:sz="4" w:space="0" w:color="000000"/>
            </w:tcBorders>
            <w:noWrap/>
            <w:vAlign w:val="center"/>
          </w:tcPr>
          <w:p w14:paraId="323A0103" w14:textId="77777777" w:rsidR="00577860" w:rsidRPr="0034611C" w:rsidRDefault="00577860" w:rsidP="00506EDE">
            <w:pPr>
              <w:spacing w:after="0" w:line="240" w:lineRule="auto"/>
              <w:contextualSpacing/>
              <w:rPr>
                <w:rFonts w:ascii="Times New Roman" w:eastAsia="Times New Roman" w:hAnsi="Times New Roman"/>
                <w:b/>
                <w:bCs/>
                <w:sz w:val="24"/>
                <w:szCs w:val="24"/>
                <w:lang w:eastAsia="lv-LV"/>
              </w:rPr>
            </w:pPr>
            <w:r w:rsidRPr="0034611C">
              <w:rPr>
                <w:rFonts w:ascii="Times New Roman" w:hAnsi="Times New Roman"/>
                <w:sz w:val="24"/>
                <w:szCs w:val="24"/>
              </w:rPr>
              <w:t>latviešu valodā grupai no 30 personām</w:t>
            </w:r>
          </w:p>
        </w:tc>
        <w:tc>
          <w:tcPr>
            <w:tcW w:w="1985" w:type="dxa"/>
            <w:tcBorders>
              <w:top w:val="single" w:sz="4" w:space="0" w:color="auto"/>
              <w:left w:val="nil"/>
              <w:bottom w:val="nil"/>
              <w:right w:val="single" w:sz="4" w:space="0" w:color="auto"/>
            </w:tcBorders>
            <w:noWrap/>
            <w:vAlign w:val="center"/>
          </w:tcPr>
          <w:p w14:paraId="7645959F"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6689E42E"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33,06</w:t>
            </w:r>
          </w:p>
        </w:tc>
        <w:tc>
          <w:tcPr>
            <w:tcW w:w="883" w:type="dxa"/>
            <w:tcBorders>
              <w:top w:val="single" w:sz="4" w:space="0" w:color="auto"/>
              <w:left w:val="nil"/>
              <w:bottom w:val="nil"/>
              <w:right w:val="single" w:sz="4" w:space="0" w:color="auto"/>
            </w:tcBorders>
            <w:vAlign w:val="center"/>
          </w:tcPr>
          <w:p w14:paraId="53039672"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6,94</w:t>
            </w:r>
          </w:p>
        </w:tc>
        <w:tc>
          <w:tcPr>
            <w:tcW w:w="1322" w:type="dxa"/>
            <w:tcBorders>
              <w:top w:val="single" w:sz="4" w:space="0" w:color="auto"/>
              <w:left w:val="nil"/>
              <w:bottom w:val="nil"/>
              <w:right w:val="single" w:sz="4" w:space="0" w:color="auto"/>
            </w:tcBorders>
            <w:vAlign w:val="center"/>
          </w:tcPr>
          <w:p w14:paraId="4BAF762B"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40,00</w:t>
            </w:r>
          </w:p>
        </w:tc>
      </w:tr>
      <w:tr w:rsidR="00577860" w:rsidRPr="0034611C" w14:paraId="2E342E8B" w14:textId="77777777" w:rsidTr="00506EDE">
        <w:trPr>
          <w:trHeight w:val="570"/>
        </w:trPr>
        <w:tc>
          <w:tcPr>
            <w:tcW w:w="943" w:type="dxa"/>
            <w:tcBorders>
              <w:top w:val="single" w:sz="4" w:space="0" w:color="auto"/>
              <w:left w:val="single" w:sz="4" w:space="0" w:color="auto"/>
              <w:bottom w:val="nil"/>
              <w:right w:val="single" w:sz="4" w:space="0" w:color="auto"/>
            </w:tcBorders>
            <w:noWrap/>
            <w:vAlign w:val="bottom"/>
          </w:tcPr>
          <w:p w14:paraId="51748AE6"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11.3.</w:t>
            </w:r>
          </w:p>
        </w:tc>
        <w:tc>
          <w:tcPr>
            <w:tcW w:w="4047" w:type="dxa"/>
            <w:tcBorders>
              <w:top w:val="single" w:sz="4" w:space="0" w:color="auto"/>
              <w:left w:val="nil"/>
              <w:bottom w:val="single" w:sz="4" w:space="0" w:color="auto"/>
              <w:right w:val="single" w:sz="4" w:space="0" w:color="000000"/>
            </w:tcBorders>
            <w:noWrap/>
            <w:vAlign w:val="center"/>
          </w:tcPr>
          <w:p w14:paraId="7F016DFF" w14:textId="77777777" w:rsidR="00577860" w:rsidRPr="0034611C" w:rsidRDefault="00577860" w:rsidP="00506EDE">
            <w:pPr>
              <w:spacing w:after="0" w:line="240" w:lineRule="auto"/>
              <w:contextualSpacing/>
              <w:rPr>
                <w:rFonts w:ascii="Times New Roman" w:eastAsia="Times New Roman" w:hAnsi="Times New Roman"/>
                <w:b/>
                <w:bCs/>
                <w:sz w:val="24"/>
                <w:szCs w:val="24"/>
                <w:lang w:eastAsia="lv-LV"/>
              </w:rPr>
            </w:pPr>
            <w:r w:rsidRPr="0034611C">
              <w:rPr>
                <w:rFonts w:ascii="Times New Roman" w:hAnsi="Times New Roman"/>
                <w:sz w:val="24"/>
                <w:szCs w:val="24"/>
              </w:rPr>
              <w:t>svešvalodā grupai līdz 29 personām</w:t>
            </w:r>
          </w:p>
        </w:tc>
        <w:tc>
          <w:tcPr>
            <w:tcW w:w="1985" w:type="dxa"/>
            <w:tcBorders>
              <w:top w:val="single" w:sz="4" w:space="0" w:color="auto"/>
              <w:left w:val="nil"/>
              <w:bottom w:val="nil"/>
              <w:right w:val="single" w:sz="4" w:space="0" w:color="auto"/>
            </w:tcBorders>
            <w:noWrap/>
            <w:vAlign w:val="center"/>
          </w:tcPr>
          <w:p w14:paraId="74E5C4AC"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2DB6F033"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28,93</w:t>
            </w:r>
          </w:p>
        </w:tc>
        <w:tc>
          <w:tcPr>
            <w:tcW w:w="883" w:type="dxa"/>
            <w:tcBorders>
              <w:top w:val="single" w:sz="4" w:space="0" w:color="auto"/>
              <w:left w:val="nil"/>
              <w:bottom w:val="nil"/>
              <w:right w:val="single" w:sz="4" w:space="0" w:color="auto"/>
            </w:tcBorders>
            <w:vAlign w:val="center"/>
          </w:tcPr>
          <w:p w14:paraId="5E2995CA"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6,07</w:t>
            </w:r>
          </w:p>
        </w:tc>
        <w:tc>
          <w:tcPr>
            <w:tcW w:w="1322" w:type="dxa"/>
            <w:tcBorders>
              <w:top w:val="single" w:sz="4" w:space="0" w:color="auto"/>
              <w:left w:val="nil"/>
              <w:bottom w:val="nil"/>
              <w:right w:val="single" w:sz="4" w:space="0" w:color="auto"/>
            </w:tcBorders>
            <w:vAlign w:val="center"/>
          </w:tcPr>
          <w:p w14:paraId="7C64483C"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35,00</w:t>
            </w:r>
          </w:p>
        </w:tc>
      </w:tr>
      <w:tr w:rsidR="00577860" w:rsidRPr="0034611C" w14:paraId="24010CCC" w14:textId="77777777" w:rsidTr="00506EDE">
        <w:trPr>
          <w:trHeight w:val="570"/>
        </w:trPr>
        <w:tc>
          <w:tcPr>
            <w:tcW w:w="943" w:type="dxa"/>
            <w:tcBorders>
              <w:top w:val="single" w:sz="4" w:space="0" w:color="auto"/>
              <w:left w:val="single" w:sz="4" w:space="0" w:color="auto"/>
              <w:bottom w:val="nil"/>
              <w:right w:val="single" w:sz="4" w:space="0" w:color="auto"/>
            </w:tcBorders>
            <w:noWrap/>
            <w:vAlign w:val="bottom"/>
          </w:tcPr>
          <w:p w14:paraId="22EA5101"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11.4.</w:t>
            </w:r>
          </w:p>
        </w:tc>
        <w:tc>
          <w:tcPr>
            <w:tcW w:w="4047" w:type="dxa"/>
            <w:tcBorders>
              <w:top w:val="single" w:sz="4" w:space="0" w:color="auto"/>
              <w:left w:val="nil"/>
              <w:bottom w:val="single" w:sz="4" w:space="0" w:color="auto"/>
              <w:right w:val="single" w:sz="4" w:space="0" w:color="000000"/>
            </w:tcBorders>
            <w:noWrap/>
            <w:vAlign w:val="center"/>
          </w:tcPr>
          <w:p w14:paraId="12326A49" w14:textId="77777777" w:rsidR="00577860" w:rsidRPr="0034611C" w:rsidRDefault="00577860" w:rsidP="00506EDE">
            <w:pPr>
              <w:spacing w:after="0" w:line="240" w:lineRule="auto"/>
              <w:contextualSpacing/>
              <w:rPr>
                <w:rFonts w:ascii="Times New Roman" w:eastAsia="Times New Roman" w:hAnsi="Times New Roman"/>
                <w:b/>
                <w:bCs/>
                <w:sz w:val="24"/>
                <w:szCs w:val="24"/>
                <w:lang w:eastAsia="lv-LV"/>
              </w:rPr>
            </w:pPr>
            <w:r w:rsidRPr="0034611C">
              <w:rPr>
                <w:rFonts w:ascii="Times New Roman" w:hAnsi="Times New Roman"/>
                <w:sz w:val="24"/>
                <w:szCs w:val="24"/>
              </w:rPr>
              <w:t>svešvalodā grupai no 30 personām</w:t>
            </w:r>
          </w:p>
        </w:tc>
        <w:tc>
          <w:tcPr>
            <w:tcW w:w="1985" w:type="dxa"/>
            <w:tcBorders>
              <w:top w:val="single" w:sz="4" w:space="0" w:color="auto"/>
              <w:left w:val="nil"/>
              <w:bottom w:val="nil"/>
              <w:right w:val="single" w:sz="4" w:space="0" w:color="auto"/>
            </w:tcBorders>
            <w:noWrap/>
            <w:vAlign w:val="center"/>
          </w:tcPr>
          <w:p w14:paraId="33241A9B"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līdz 2 h / 1 grupai</w:t>
            </w:r>
          </w:p>
        </w:tc>
        <w:tc>
          <w:tcPr>
            <w:tcW w:w="1134" w:type="dxa"/>
            <w:tcBorders>
              <w:top w:val="single" w:sz="4" w:space="0" w:color="auto"/>
              <w:left w:val="nil"/>
              <w:bottom w:val="nil"/>
              <w:right w:val="single" w:sz="4" w:space="0" w:color="auto"/>
            </w:tcBorders>
            <w:vAlign w:val="bottom"/>
          </w:tcPr>
          <w:p w14:paraId="0B1D8CF8"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49,59</w:t>
            </w:r>
          </w:p>
        </w:tc>
        <w:tc>
          <w:tcPr>
            <w:tcW w:w="883" w:type="dxa"/>
            <w:tcBorders>
              <w:top w:val="single" w:sz="4" w:space="0" w:color="auto"/>
              <w:left w:val="nil"/>
              <w:bottom w:val="nil"/>
              <w:right w:val="single" w:sz="4" w:space="0" w:color="auto"/>
            </w:tcBorders>
            <w:vAlign w:val="center"/>
          </w:tcPr>
          <w:p w14:paraId="07B5C5B6"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10,41</w:t>
            </w:r>
          </w:p>
        </w:tc>
        <w:tc>
          <w:tcPr>
            <w:tcW w:w="1322" w:type="dxa"/>
            <w:tcBorders>
              <w:top w:val="single" w:sz="4" w:space="0" w:color="auto"/>
              <w:left w:val="nil"/>
              <w:bottom w:val="nil"/>
              <w:right w:val="single" w:sz="4" w:space="0" w:color="auto"/>
            </w:tcBorders>
            <w:vAlign w:val="center"/>
          </w:tcPr>
          <w:p w14:paraId="636E92C2" w14:textId="77777777" w:rsidR="00577860" w:rsidRPr="0034611C" w:rsidRDefault="00577860" w:rsidP="00506EDE">
            <w:pPr>
              <w:spacing w:after="0" w:line="240" w:lineRule="auto"/>
              <w:contextualSpacing/>
              <w:jc w:val="center"/>
              <w:rPr>
                <w:rFonts w:ascii="Times New Roman" w:eastAsia="Times New Roman" w:hAnsi="Times New Roman"/>
                <w:b/>
                <w:bCs/>
                <w:sz w:val="24"/>
                <w:szCs w:val="24"/>
                <w:lang w:eastAsia="lv-LV"/>
              </w:rPr>
            </w:pPr>
            <w:r w:rsidRPr="0034611C">
              <w:rPr>
                <w:rFonts w:ascii="Times New Roman" w:hAnsi="Times New Roman"/>
                <w:sz w:val="24"/>
                <w:szCs w:val="24"/>
              </w:rPr>
              <w:t>60,00</w:t>
            </w:r>
          </w:p>
        </w:tc>
      </w:tr>
      <w:tr w:rsidR="00577860" w:rsidRPr="0034611C" w14:paraId="202C6FE0" w14:textId="77777777" w:rsidTr="00506EDE">
        <w:trPr>
          <w:trHeight w:val="570"/>
        </w:trPr>
        <w:tc>
          <w:tcPr>
            <w:tcW w:w="943" w:type="dxa"/>
            <w:tcBorders>
              <w:top w:val="single" w:sz="4" w:space="0" w:color="auto"/>
              <w:left w:val="single" w:sz="4" w:space="0" w:color="auto"/>
              <w:bottom w:val="nil"/>
              <w:right w:val="single" w:sz="4" w:space="0" w:color="auto"/>
            </w:tcBorders>
            <w:noWrap/>
            <w:vAlign w:val="center"/>
          </w:tcPr>
          <w:p w14:paraId="5754AC4C" w14:textId="77777777" w:rsidR="00577860" w:rsidRPr="0034611C" w:rsidRDefault="00577860" w:rsidP="00506EDE">
            <w:pPr>
              <w:spacing w:after="0" w:line="240" w:lineRule="auto"/>
              <w:contextualSpacing/>
              <w:jc w:val="center"/>
              <w:rPr>
                <w:rFonts w:ascii="Times New Roman" w:eastAsia="Times New Roman" w:hAnsi="Times New Roman"/>
                <w:sz w:val="24"/>
                <w:szCs w:val="24"/>
                <w:lang w:eastAsia="lv-LV"/>
              </w:rPr>
            </w:pPr>
            <w:r w:rsidRPr="0034611C">
              <w:rPr>
                <w:rFonts w:ascii="Times New Roman" w:hAnsi="Times New Roman"/>
                <w:sz w:val="24"/>
                <w:szCs w:val="24"/>
              </w:rPr>
              <w:t>11.5.</w:t>
            </w:r>
          </w:p>
        </w:tc>
        <w:tc>
          <w:tcPr>
            <w:tcW w:w="4047" w:type="dxa"/>
            <w:tcBorders>
              <w:top w:val="single" w:sz="4" w:space="0" w:color="auto"/>
              <w:left w:val="nil"/>
              <w:bottom w:val="single" w:sz="4" w:space="0" w:color="auto"/>
              <w:right w:val="single" w:sz="4" w:space="0" w:color="000000"/>
            </w:tcBorders>
            <w:noWrap/>
            <w:vAlign w:val="center"/>
          </w:tcPr>
          <w:p w14:paraId="6662D6AB" w14:textId="77777777" w:rsidR="00577860" w:rsidRPr="0034611C" w:rsidRDefault="00577860" w:rsidP="00506EDE">
            <w:pPr>
              <w:spacing w:after="0" w:line="240" w:lineRule="auto"/>
              <w:contextualSpacing/>
              <w:rPr>
                <w:rFonts w:ascii="Times New Roman" w:eastAsia="Times New Roman" w:hAnsi="Times New Roman"/>
                <w:sz w:val="24"/>
                <w:szCs w:val="24"/>
                <w:lang w:eastAsia="lv-LV"/>
              </w:rPr>
            </w:pPr>
            <w:r w:rsidRPr="0034611C">
              <w:rPr>
                <w:rFonts w:ascii="Times New Roman" w:hAnsi="Times New Roman"/>
                <w:sz w:val="24"/>
                <w:szCs w:val="24"/>
              </w:rPr>
              <w:t>Radoša vai izglītojoša nodarbība:</w:t>
            </w:r>
          </w:p>
        </w:tc>
        <w:tc>
          <w:tcPr>
            <w:tcW w:w="1985" w:type="dxa"/>
            <w:tcBorders>
              <w:top w:val="single" w:sz="4" w:space="0" w:color="auto"/>
              <w:left w:val="nil"/>
              <w:bottom w:val="nil"/>
              <w:right w:val="single" w:sz="4" w:space="0" w:color="auto"/>
            </w:tcBorders>
            <w:noWrap/>
            <w:vAlign w:val="center"/>
          </w:tcPr>
          <w:p w14:paraId="78D25002" w14:textId="77777777" w:rsidR="00577860" w:rsidRPr="0034611C" w:rsidRDefault="00577860" w:rsidP="00506EDE">
            <w:pPr>
              <w:spacing w:after="0" w:line="240" w:lineRule="auto"/>
              <w:contextualSpacing/>
              <w:jc w:val="center"/>
              <w:rPr>
                <w:rFonts w:ascii="Times New Roman" w:eastAsia="Times New Roman" w:hAnsi="Times New Roman"/>
                <w:sz w:val="24"/>
                <w:szCs w:val="24"/>
                <w:lang w:eastAsia="lv-LV"/>
              </w:rPr>
            </w:pPr>
            <w:r w:rsidRPr="0034611C">
              <w:rPr>
                <w:rFonts w:ascii="Times New Roman" w:hAnsi="Times New Roman"/>
                <w:sz w:val="24"/>
                <w:szCs w:val="24"/>
              </w:rPr>
              <w:t>1 personai</w:t>
            </w:r>
          </w:p>
        </w:tc>
        <w:tc>
          <w:tcPr>
            <w:tcW w:w="1134" w:type="dxa"/>
            <w:tcBorders>
              <w:top w:val="single" w:sz="4" w:space="0" w:color="auto"/>
              <w:left w:val="nil"/>
              <w:bottom w:val="nil"/>
              <w:right w:val="single" w:sz="4" w:space="0" w:color="auto"/>
            </w:tcBorders>
            <w:vAlign w:val="center"/>
          </w:tcPr>
          <w:p w14:paraId="37546087" w14:textId="77777777" w:rsidR="00577860" w:rsidRPr="0034611C" w:rsidRDefault="00577860" w:rsidP="00506EDE">
            <w:pPr>
              <w:spacing w:after="0" w:line="240" w:lineRule="auto"/>
              <w:contextualSpacing/>
              <w:jc w:val="center"/>
              <w:rPr>
                <w:rFonts w:ascii="Times New Roman" w:eastAsia="Times New Roman" w:hAnsi="Times New Roman"/>
                <w:sz w:val="24"/>
                <w:szCs w:val="24"/>
                <w:lang w:eastAsia="lv-LV"/>
              </w:rPr>
            </w:pPr>
            <w:r w:rsidRPr="0034611C">
              <w:rPr>
                <w:rFonts w:ascii="Times New Roman" w:hAnsi="Times New Roman"/>
                <w:sz w:val="24"/>
                <w:szCs w:val="24"/>
              </w:rPr>
              <w:t>2,48</w:t>
            </w:r>
          </w:p>
        </w:tc>
        <w:tc>
          <w:tcPr>
            <w:tcW w:w="883" w:type="dxa"/>
            <w:tcBorders>
              <w:top w:val="single" w:sz="4" w:space="0" w:color="auto"/>
              <w:left w:val="nil"/>
              <w:bottom w:val="nil"/>
              <w:right w:val="single" w:sz="4" w:space="0" w:color="auto"/>
            </w:tcBorders>
            <w:vAlign w:val="center"/>
          </w:tcPr>
          <w:p w14:paraId="3B07E200" w14:textId="77777777" w:rsidR="00577860" w:rsidRPr="0034611C" w:rsidRDefault="00577860" w:rsidP="00506EDE">
            <w:pPr>
              <w:spacing w:after="0" w:line="240" w:lineRule="auto"/>
              <w:contextualSpacing/>
              <w:jc w:val="center"/>
              <w:rPr>
                <w:rFonts w:ascii="Times New Roman" w:eastAsia="Times New Roman" w:hAnsi="Times New Roman"/>
                <w:sz w:val="24"/>
                <w:szCs w:val="24"/>
                <w:lang w:eastAsia="lv-LV"/>
              </w:rPr>
            </w:pPr>
            <w:r w:rsidRPr="0034611C">
              <w:rPr>
                <w:rFonts w:ascii="Times New Roman" w:hAnsi="Times New Roman"/>
                <w:sz w:val="24"/>
                <w:szCs w:val="24"/>
              </w:rPr>
              <w:t>0,52</w:t>
            </w:r>
          </w:p>
        </w:tc>
        <w:tc>
          <w:tcPr>
            <w:tcW w:w="1322" w:type="dxa"/>
            <w:tcBorders>
              <w:top w:val="single" w:sz="4" w:space="0" w:color="auto"/>
              <w:left w:val="nil"/>
              <w:bottom w:val="nil"/>
              <w:right w:val="single" w:sz="4" w:space="0" w:color="auto"/>
            </w:tcBorders>
            <w:vAlign w:val="center"/>
          </w:tcPr>
          <w:p w14:paraId="3875F45D" w14:textId="77777777" w:rsidR="00577860" w:rsidRPr="0034611C" w:rsidRDefault="00577860" w:rsidP="00506EDE">
            <w:pPr>
              <w:spacing w:after="0" w:line="240" w:lineRule="auto"/>
              <w:contextualSpacing/>
              <w:jc w:val="center"/>
              <w:rPr>
                <w:rFonts w:ascii="Times New Roman" w:eastAsia="Times New Roman" w:hAnsi="Times New Roman"/>
                <w:sz w:val="24"/>
                <w:szCs w:val="24"/>
                <w:lang w:eastAsia="lv-LV"/>
              </w:rPr>
            </w:pPr>
            <w:r w:rsidRPr="0034611C">
              <w:rPr>
                <w:rFonts w:ascii="Times New Roman" w:hAnsi="Times New Roman"/>
                <w:sz w:val="24"/>
                <w:szCs w:val="24"/>
              </w:rPr>
              <w:t>3,00</w:t>
            </w:r>
          </w:p>
        </w:tc>
      </w:tr>
      <w:tr w:rsidR="00577860" w:rsidRPr="001E6503" w14:paraId="6A81C5CE" w14:textId="77777777" w:rsidTr="00506EDE">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3CCA0EA" w14:textId="77777777" w:rsidR="00577860" w:rsidRPr="001E6503" w:rsidRDefault="00577860" w:rsidP="00506EDE">
            <w:pPr>
              <w:spacing w:after="0" w:line="240" w:lineRule="auto"/>
              <w:contextualSpacing/>
              <w:rPr>
                <w:rFonts w:ascii="Times New Roman" w:eastAsia="Times New Roman" w:hAnsi="Times New Roman"/>
                <w:b/>
                <w:bCs/>
                <w:sz w:val="24"/>
                <w:szCs w:val="24"/>
                <w:lang w:eastAsia="lv-LV"/>
              </w:rPr>
            </w:pPr>
            <w:r w:rsidRPr="001E6503">
              <w:rPr>
                <w:rFonts w:ascii="Times New Roman" w:eastAsia="Times New Roman" w:hAnsi="Times New Roman"/>
                <w:b/>
                <w:bCs/>
                <w:sz w:val="24"/>
                <w:szCs w:val="24"/>
                <w:lang w:eastAsia="lv-LV"/>
              </w:rPr>
              <w:t>12.</w:t>
            </w:r>
          </w:p>
        </w:tc>
        <w:tc>
          <w:tcPr>
            <w:tcW w:w="937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462838" w14:textId="77777777" w:rsidR="00577860" w:rsidRPr="001E6503" w:rsidRDefault="00577860" w:rsidP="00506EDE">
            <w:pPr>
              <w:spacing w:after="0" w:line="240" w:lineRule="auto"/>
              <w:contextualSpacing/>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Iekštelpu un </w:t>
            </w:r>
            <w:proofErr w:type="spellStart"/>
            <w:r>
              <w:rPr>
                <w:rFonts w:ascii="Times New Roman" w:eastAsia="Times New Roman" w:hAnsi="Times New Roman"/>
                <w:b/>
                <w:bCs/>
                <w:sz w:val="24"/>
                <w:szCs w:val="24"/>
                <w:lang w:eastAsia="lv-LV"/>
              </w:rPr>
              <w:t>ārtelpu</w:t>
            </w:r>
            <w:proofErr w:type="spellEnd"/>
            <w:r w:rsidRPr="001E6503">
              <w:rPr>
                <w:rFonts w:ascii="Times New Roman" w:eastAsia="Times New Roman" w:hAnsi="Times New Roman"/>
                <w:b/>
                <w:bCs/>
                <w:sz w:val="24"/>
                <w:szCs w:val="24"/>
                <w:lang w:eastAsia="lv-LV"/>
              </w:rPr>
              <w:t xml:space="preserve"> noma </w:t>
            </w:r>
            <w:r>
              <w:rPr>
                <w:rFonts w:ascii="Times New Roman" w:eastAsia="Times New Roman" w:hAnsi="Times New Roman"/>
                <w:b/>
                <w:bCs/>
                <w:sz w:val="24"/>
                <w:szCs w:val="24"/>
                <w:lang w:eastAsia="lv-LV"/>
              </w:rPr>
              <w:t xml:space="preserve">(bērnu) FK Madona </w:t>
            </w:r>
            <w:proofErr w:type="spellStart"/>
            <w:r w:rsidRPr="001E6503">
              <w:rPr>
                <w:rFonts w:ascii="Times New Roman" w:eastAsia="Times New Roman" w:hAnsi="Times New Roman"/>
                <w:b/>
                <w:bCs/>
                <w:sz w:val="24"/>
                <w:szCs w:val="24"/>
                <w:lang w:eastAsia="lv-LV"/>
              </w:rPr>
              <w:t>licen</w:t>
            </w:r>
            <w:r>
              <w:rPr>
                <w:rFonts w:ascii="Times New Roman" w:eastAsia="Times New Roman" w:hAnsi="Times New Roman"/>
                <w:b/>
                <w:bCs/>
                <w:sz w:val="24"/>
                <w:szCs w:val="24"/>
                <w:lang w:eastAsia="lv-LV"/>
              </w:rPr>
              <w:t>zētajām</w:t>
            </w:r>
            <w:proofErr w:type="spellEnd"/>
            <w:r w:rsidRPr="001E6503">
              <w:rPr>
                <w:rFonts w:ascii="Times New Roman" w:eastAsia="Times New Roman" w:hAnsi="Times New Roman"/>
                <w:b/>
                <w:bCs/>
                <w:sz w:val="24"/>
                <w:szCs w:val="24"/>
                <w:lang w:eastAsia="lv-LV"/>
              </w:rPr>
              <w:t xml:space="preserve"> interešu izglītības programm</w:t>
            </w:r>
            <w:r>
              <w:rPr>
                <w:rFonts w:ascii="Times New Roman" w:eastAsia="Times New Roman" w:hAnsi="Times New Roman"/>
                <w:b/>
                <w:bCs/>
                <w:sz w:val="24"/>
                <w:szCs w:val="24"/>
                <w:lang w:eastAsia="lv-LV"/>
              </w:rPr>
              <w:t>ām ****</w:t>
            </w:r>
          </w:p>
        </w:tc>
      </w:tr>
      <w:tr w:rsidR="00577860" w:rsidRPr="00373A79" w14:paraId="7DFDA3FB" w14:textId="77777777" w:rsidTr="00506EDE">
        <w:trPr>
          <w:trHeight w:val="315"/>
        </w:trPr>
        <w:tc>
          <w:tcPr>
            <w:tcW w:w="943" w:type="dxa"/>
            <w:tcBorders>
              <w:top w:val="single" w:sz="4" w:space="0" w:color="auto"/>
              <w:left w:val="single" w:sz="4" w:space="0" w:color="auto"/>
              <w:bottom w:val="single" w:sz="4" w:space="0" w:color="auto"/>
              <w:right w:val="single" w:sz="4" w:space="0" w:color="auto"/>
            </w:tcBorders>
            <w:noWrap/>
            <w:vAlign w:val="center"/>
          </w:tcPr>
          <w:p w14:paraId="0F8E6B65" w14:textId="77777777" w:rsidR="00577860" w:rsidRPr="00373A79" w:rsidRDefault="00577860" w:rsidP="00506EDE">
            <w:pPr>
              <w:spacing w:after="0" w:line="240" w:lineRule="auto"/>
              <w:contextualSpacing/>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12.1.</w:t>
            </w:r>
          </w:p>
        </w:tc>
        <w:tc>
          <w:tcPr>
            <w:tcW w:w="4047" w:type="dxa"/>
            <w:tcBorders>
              <w:top w:val="single" w:sz="4" w:space="0" w:color="auto"/>
              <w:left w:val="single" w:sz="4" w:space="0" w:color="auto"/>
              <w:bottom w:val="single" w:sz="4" w:space="0" w:color="auto"/>
              <w:right w:val="single" w:sz="4" w:space="0" w:color="auto"/>
            </w:tcBorders>
            <w:vAlign w:val="center"/>
          </w:tcPr>
          <w:p w14:paraId="65BAC952"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Nodarbībām ar palīgtelpām </w:t>
            </w:r>
            <w:r>
              <w:rPr>
                <w:rFonts w:ascii="Times New Roman" w:eastAsia="Times New Roman" w:hAnsi="Times New Roman"/>
                <w:sz w:val="24"/>
                <w:szCs w:val="24"/>
                <w:vertAlign w:val="superscript"/>
                <w:lang w:eastAsia="lv-LV"/>
              </w:rPr>
              <w:t>*11</w:t>
            </w:r>
          </w:p>
        </w:tc>
        <w:tc>
          <w:tcPr>
            <w:tcW w:w="1985" w:type="dxa"/>
            <w:tcBorders>
              <w:top w:val="single" w:sz="4" w:space="0" w:color="auto"/>
              <w:left w:val="single" w:sz="4" w:space="0" w:color="auto"/>
              <w:bottom w:val="single" w:sz="4" w:space="0" w:color="auto"/>
              <w:right w:val="single" w:sz="4" w:space="0" w:color="auto"/>
            </w:tcBorders>
            <w:noWrap/>
            <w:vAlign w:val="center"/>
          </w:tcPr>
          <w:p w14:paraId="49CA4181"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 grupai</w:t>
            </w:r>
          </w:p>
        </w:tc>
        <w:tc>
          <w:tcPr>
            <w:tcW w:w="3339" w:type="dxa"/>
            <w:gridSpan w:val="3"/>
            <w:tcBorders>
              <w:top w:val="single" w:sz="4" w:space="0" w:color="auto"/>
              <w:left w:val="single" w:sz="4" w:space="0" w:color="auto"/>
              <w:bottom w:val="single" w:sz="4" w:space="0" w:color="auto"/>
              <w:right w:val="single" w:sz="4" w:space="0" w:color="auto"/>
            </w:tcBorders>
            <w:noWrap/>
            <w:vAlign w:val="center"/>
          </w:tcPr>
          <w:p w14:paraId="6F3FCF39"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80% atlaide </w:t>
            </w:r>
          </w:p>
        </w:tc>
      </w:tr>
    </w:tbl>
    <w:p w14:paraId="0688D224" w14:textId="77777777" w:rsidR="00577860" w:rsidRPr="00373A79" w:rsidRDefault="00577860" w:rsidP="00577860">
      <w:pPr>
        <w:spacing w:after="0" w:line="240" w:lineRule="auto"/>
        <w:contextualSpacing/>
        <w:textDirection w:val="btLr"/>
        <w:textAlignment w:val="top"/>
        <w:outlineLvl w:val="0"/>
        <w:rPr>
          <w:rFonts w:ascii="Times New Roman" w:eastAsia="Times New Roman" w:hAnsi="Times New Roman"/>
          <w:sz w:val="24"/>
          <w:szCs w:val="24"/>
          <w:lang w:eastAsia="ar-SA"/>
        </w:rPr>
      </w:pPr>
    </w:p>
    <w:tbl>
      <w:tblPr>
        <w:tblW w:w="10248" w:type="dxa"/>
        <w:tblInd w:w="-459" w:type="dxa"/>
        <w:tblLook w:val="04A0" w:firstRow="1" w:lastRow="0" w:firstColumn="1" w:lastColumn="0" w:noHBand="0" w:noVBand="1"/>
      </w:tblPr>
      <w:tblGrid>
        <w:gridCol w:w="993"/>
        <w:gridCol w:w="4094"/>
        <w:gridCol w:w="1418"/>
        <w:gridCol w:w="1131"/>
        <w:gridCol w:w="876"/>
        <w:gridCol w:w="1695"/>
        <w:gridCol w:w="41"/>
      </w:tblGrid>
      <w:tr w:rsidR="00577860" w:rsidRPr="00373A79" w14:paraId="19B4BD58" w14:textId="77777777" w:rsidTr="00506EDE">
        <w:trPr>
          <w:trHeight w:val="285"/>
        </w:trPr>
        <w:tc>
          <w:tcPr>
            <w:tcW w:w="993" w:type="dxa"/>
            <w:tcBorders>
              <w:top w:val="single" w:sz="4" w:space="0" w:color="auto"/>
              <w:left w:val="single" w:sz="4" w:space="0" w:color="auto"/>
              <w:bottom w:val="nil"/>
              <w:right w:val="single" w:sz="4" w:space="0" w:color="auto"/>
            </w:tcBorders>
            <w:shd w:val="clear" w:color="000000" w:fill="E2EFDA"/>
            <w:noWrap/>
            <w:vAlign w:val="center"/>
            <w:hideMark/>
          </w:tcPr>
          <w:p w14:paraId="49F26F97" w14:textId="77777777" w:rsidR="00577860" w:rsidRPr="00373A79" w:rsidRDefault="00577860" w:rsidP="00506EDE">
            <w:pPr>
              <w:spacing w:after="0" w:line="240" w:lineRule="auto"/>
              <w:contextualSpacing/>
              <w:rPr>
                <w:rFonts w:ascii="Times New Roman" w:eastAsia="Times New Roman" w:hAnsi="Times New Roman"/>
                <w:b/>
                <w:bCs/>
                <w:sz w:val="24"/>
                <w:szCs w:val="24"/>
                <w:lang w:eastAsia="lv-LV"/>
              </w:rPr>
            </w:pPr>
            <w:r w:rsidRPr="00373A79">
              <w:rPr>
                <w:rFonts w:ascii="Times New Roman" w:eastAsia="Times New Roman" w:hAnsi="Times New Roman"/>
                <w:b/>
                <w:bCs/>
                <w:sz w:val="24"/>
                <w:szCs w:val="24"/>
                <w:lang w:eastAsia="lv-LV"/>
              </w:rPr>
              <w:t>17.</w:t>
            </w:r>
          </w:p>
        </w:tc>
        <w:tc>
          <w:tcPr>
            <w:tcW w:w="9255" w:type="dxa"/>
            <w:gridSpan w:val="6"/>
            <w:tcBorders>
              <w:top w:val="single" w:sz="4" w:space="0" w:color="auto"/>
              <w:left w:val="nil"/>
              <w:bottom w:val="nil"/>
              <w:right w:val="single" w:sz="4" w:space="0" w:color="auto"/>
            </w:tcBorders>
            <w:shd w:val="clear" w:color="000000" w:fill="E2EFDA"/>
            <w:vAlign w:val="center"/>
            <w:hideMark/>
          </w:tcPr>
          <w:p w14:paraId="74AFDCC1" w14:textId="77777777" w:rsidR="00577860" w:rsidRPr="00373A79" w:rsidRDefault="00577860" w:rsidP="00506EDE">
            <w:pPr>
              <w:spacing w:after="0" w:line="240" w:lineRule="auto"/>
              <w:contextualSpacing/>
              <w:rPr>
                <w:rFonts w:ascii="Times New Roman" w:eastAsia="Times New Roman" w:hAnsi="Times New Roman"/>
                <w:b/>
                <w:bCs/>
                <w:sz w:val="24"/>
                <w:szCs w:val="24"/>
                <w:lang w:eastAsia="lv-LV"/>
              </w:rPr>
            </w:pPr>
            <w:proofErr w:type="spellStart"/>
            <w:r w:rsidRPr="00373A79">
              <w:rPr>
                <w:rFonts w:ascii="Times New Roman" w:eastAsia="Times New Roman" w:hAnsi="Times New Roman"/>
                <w:b/>
                <w:bCs/>
                <w:sz w:val="24"/>
                <w:szCs w:val="24"/>
                <w:lang w:eastAsia="lv-LV"/>
              </w:rPr>
              <w:t>Līdzmaksājums</w:t>
            </w:r>
            <w:proofErr w:type="spellEnd"/>
            <w:r w:rsidRPr="00373A79">
              <w:rPr>
                <w:rFonts w:ascii="Times New Roman" w:eastAsia="Times New Roman" w:hAnsi="Times New Roman"/>
                <w:b/>
                <w:bCs/>
                <w:sz w:val="24"/>
                <w:szCs w:val="24"/>
                <w:lang w:eastAsia="lv-LV"/>
              </w:rPr>
              <w:t xml:space="preserve"> par ēdināšanas pakalpojumu pirmsskolas izglītības iestādēs</w:t>
            </w:r>
          </w:p>
        </w:tc>
      </w:tr>
      <w:tr w:rsidR="00577860" w:rsidRPr="00373A79" w14:paraId="478754EA" w14:textId="77777777" w:rsidTr="00506EDE">
        <w:trPr>
          <w:gridAfter w:val="1"/>
          <w:wAfter w:w="41" w:type="dxa"/>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45D09BBB"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17.1.</w:t>
            </w:r>
          </w:p>
        </w:tc>
        <w:tc>
          <w:tcPr>
            <w:tcW w:w="4110" w:type="dxa"/>
            <w:tcBorders>
              <w:top w:val="single" w:sz="4" w:space="0" w:color="auto"/>
              <w:left w:val="nil"/>
              <w:bottom w:val="single" w:sz="4" w:space="0" w:color="auto"/>
              <w:right w:val="single" w:sz="4" w:space="0" w:color="auto"/>
            </w:tcBorders>
            <w:vAlign w:val="center"/>
            <w:hideMark/>
          </w:tcPr>
          <w:p w14:paraId="6EF328B3"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 xml:space="preserve">Izglītojamo likumisko aizbildņu </w:t>
            </w:r>
            <w:proofErr w:type="spellStart"/>
            <w:r w:rsidRPr="00373A79">
              <w:rPr>
                <w:rFonts w:ascii="Times New Roman" w:eastAsia="Times New Roman" w:hAnsi="Times New Roman"/>
                <w:sz w:val="24"/>
                <w:szCs w:val="24"/>
                <w:lang w:eastAsia="lv-LV"/>
              </w:rPr>
              <w:t>līdzmaksājums</w:t>
            </w:r>
            <w:proofErr w:type="spellEnd"/>
            <w:r w:rsidRPr="00373A79">
              <w:rPr>
                <w:rFonts w:ascii="Times New Roman" w:eastAsia="Times New Roman" w:hAnsi="Times New Roman"/>
                <w:sz w:val="24"/>
                <w:szCs w:val="24"/>
                <w:lang w:eastAsia="lv-LV"/>
              </w:rPr>
              <w:t xml:space="preserve"> no 1.</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septembra līdz 31.</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maijam</w:t>
            </w:r>
          </w:p>
        </w:tc>
        <w:tc>
          <w:tcPr>
            <w:tcW w:w="1418" w:type="dxa"/>
            <w:tcBorders>
              <w:top w:val="single" w:sz="4" w:space="0" w:color="auto"/>
              <w:left w:val="nil"/>
              <w:bottom w:val="single" w:sz="4" w:space="0" w:color="auto"/>
              <w:right w:val="single" w:sz="4" w:space="0" w:color="auto"/>
            </w:tcBorders>
            <w:noWrap/>
            <w:vAlign w:val="center"/>
            <w:hideMark/>
          </w:tcPr>
          <w:p w14:paraId="016D5E15"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 diena</w:t>
            </w:r>
          </w:p>
        </w:tc>
        <w:tc>
          <w:tcPr>
            <w:tcW w:w="3686" w:type="dxa"/>
            <w:gridSpan w:val="3"/>
            <w:tcBorders>
              <w:top w:val="single" w:sz="4" w:space="0" w:color="auto"/>
              <w:left w:val="nil"/>
              <w:bottom w:val="single" w:sz="4" w:space="0" w:color="auto"/>
              <w:right w:val="single" w:sz="4" w:space="0" w:color="000000"/>
            </w:tcBorders>
            <w:vAlign w:val="center"/>
            <w:hideMark/>
          </w:tcPr>
          <w:p w14:paraId="5BBEF344"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100% atlaide</w:t>
            </w:r>
          </w:p>
        </w:tc>
      </w:tr>
      <w:tr w:rsidR="00577860" w:rsidRPr="00373A79" w14:paraId="43DBFFFB" w14:textId="77777777" w:rsidTr="00506EDE">
        <w:trPr>
          <w:gridAfter w:val="1"/>
          <w:wAfter w:w="41" w:type="dxa"/>
          <w:trHeight w:val="360"/>
        </w:trPr>
        <w:tc>
          <w:tcPr>
            <w:tcW w:w="993" w:type="dxa"/>
            <w:tcBorders>
              <w:top w:val="nil"/>
              <w:left w:val="single" w:sz="4" w:space="0" w:color="auto"/>
              <w:bottom w:val="single" w:sz="4" w:space="0" w:color="auto"/>
              <w:right w:val="single" w:sz="4" w:space="0" w:color="auto"/>
            </w:tcBorders>
            <w:noWrap/>
            <w:vAlign w:val="center"/>
            <w:hideMark/>
          </w:tcPr>
          <w:p w14:paraId="2DD178D0"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17.2.</w:t>
            </w:r>
          </w:p>
        </w:tc>
        <w:tc>
          <w:tcPr>
            <w:tcW w:w="4110" w:type="dxa"/>
            <w:tcBorders>
              <w:top w:val="nil"/>
              <w:left w:val="nil"/>
              <w:bottom w:val="single" w:sz="4" w:space="0" w:color="auto"/>
              <w:right w:val="single" w:sz="4" w:space="0" w:color="auto"/>
            </w:tcBorders>
            <w:vAlign w:val="center"/>
            <w:hideMark/>
          </w:tcPr>
          <w:p w14:paraId="58149B4D"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 xml:space="preserve">Izglītojamo likumisko aizbildņu </w:t>
            </w:r>
            <w:proofErr w:type="spellStart"/>
            <w:r w:rsidRPr="00373A79">
              <w:rPr>
                <w:rFonts w:ascii="Times New Roman" w:eastAsia="Times New Roman" w:hAnsi="Times New Roman"/>
                <w:sz w:val="24"/>
                <w:szCs w:val="24"/>
                <w:lang w:eastAsia="lv-LV"/>
              </w:rPr>
              <w:t>līdzmaksājums</w:t>
            </w:r>
            <w:proofErr w:type="spellEnd"/>
            <w:r w:rsidRPr="00373A79">
              <w:rPr>
                <w:rFonts w:ascii="Times New Roman" w:eastAsia="Times New Roman" w:hAnsi="Times New Roman"/>
                <w:sz w:val="24"/>
                <w:szCs w:val="24"/>
                <w:lang w:eastAsia="lv-LV"/>
              </w:rPr>
              <w:t xml:space="preserve"> no 1.</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jūnija līdz 31.</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augustam</w:t>
            </w:r>
          </w:p>
        </w:tc>
        <w:tc>
          <w:tcPr>
            <w:tcW w:w="1418" w:type="dxa"/>
            <w:tcBorders>
              <w:top w:val="nil"/>
              <w:left w:val="nil"/>
              <w:bottom w:val="single" w:sz="4" w:space="0" w:color="auto"/>
              <w:right w:val="single" w:sz="4" w:space="0" w:color="auto"/>
            </w:tcBorders>
            <w:noWrap/>
            <w:vAlign w:val="center"/>
            <w:hideMark/>
          </w:tcPr>
          <w:p w14:paraId="2996CDB6"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 diena</w:t>
            </w:r>
          </w:p>
        </w:tc>
        <w:tc>
          <w:tcPr>
            <w:tcW w:w="1134" w:type="dxa"/>
            <w:tcBorders>
              <w:top w:val="nil"/>
              <w:left w:val="nil"/>
              <w:bottom w:val="single" w:sz="4" w:space="0" w:color="auto"/>
              <w:right w:val="single" w:sz="4" w:space="0" w:color="auto"/>
            </w:tcBorders>
            <w:vAlign w:val="center"/>
            <w:hideMark/>
          </w:tcPr>
          <w:p w14:paraId="195E98CF"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2,00</w:t>
            </w:r>
          </w:p>
        </w:tc>
        <w:tc>
          <w:tcPr>
            <w:tcW w:w="850" w:type="dxa"/>
            <w:tcBorders>
              <w:top w:val="nil"/>
              <w:left w:val="nil"/>
              <w:bottom w:val="single" w:sz="4" w:space="0" w:color="auto"/>
              <w:right w:val="single" w:sz="4" w:space="0" w:color="auto"/>
            </w:tcBorders>
            <w:vAlign w:val="center"/>
            <w:hideMark/>
          </w:tcPr>
          <w:p w14:paraId="5D1900EF"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0,00</w:t>
            </w:r>
            <w:r w:rsidRPr="00373A79">
              <w:rPr>
                <w:rFonts w:ascii="Times New Roman" w:eastAsia="Times New Roman" w:hAnsi="Times New Roman"/>
                <w:sz w:val="24"/>
                <w:szCs w:val="24"/>
                <w:vertAlign w:val="superscript"/>
                <w:lang w:eastAsia="lv-LV"/>
              </w:rPr>
              <w:t>*10</w:t>
            </w:r>
          </w:p>
        </w:tc>
        <w:tc>
          <w:tcPr>
            <w:tcW w:w="1702" w:type="dxa"/>
            <w:tcBorders>
              <w:top w:val="nil"/>
              <w:left w:val="nil"/>
              <w:bottom w:val="single" w:sz="4" w:space="0" w:color="auto"/>
              <w:right w:val="single" w:sz="4" w:space="0" w:color="auto"/>
            </w:tcBorders>
            <w:vAlign w:val="center"/>
            <w:hideMark/>
          </w:tcPr>
          <w:p w14:paraId="2345B275"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2,00</w:t>
            </w:r>
          </w:p>
        </w:tc>
      </w:tr>
      <w:tr w:rsidR="00577860" w:rsidRPr="00373A79" w14:paraId="5B0DC2C8" w14:textId="77777777" w:rsidTr="00506EDE">
        <w:trPr>
          <w:gridAfter w:val="1"/>
          <w:wAfter w:w="41" w:type="dxa"/>
          <w:trHeight w:val="300"/>
        </w:trPr>
        <w:tc>
          <w:tcPr>
            <w:tcW w:w="993" w:type="dxa"/>
            <w:tcBorders>
              <w:top w:val="nil"/>
              <w:left w:val="single" w:sz="4" w:space="0" w:color="auto"/>
              <w:bottom w:val="single" w:sz="4" w:space="0" w:color="auto"/>
              <w:right w:val="single" w:sz="4" w:space="0" w:color="auto"/>
            </w:tcBorders>
            <w:noWrap/>
            <w:vAlign w:val="center"/>
            <w:hideMark/>
          </w:tcPr>
          <w:p w14:paraId="69F812FA"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17.2.1.</w:t>
            </w:r>
          </w:p>
        </w:tc>
        <w:tc>
          <w:tcPr>
            <w:tcW w:w="4110" w:type="dxa"/>
            <w:tcBorders>
              <w:top w:val="nil"/>
              <w:left w:val="nil"/>
              <w:bottom w:val="single" w:sz="4" w:space="0" w:color="auto"/>
              <w:right w:val="single" w:sz="4" w:space="0" w:color="auto"/>
            </w:tcBorders>
            <w:vAlign w:val="center"/>
            <w:hideMark/>
          </w:tcPr>
          <w:p w14:paraId="6CFCF601"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Goda ģimenes statusa īpašnieki</w:t>
            </w:r>
          </w:p>
        </w:tc>
        <w:tc>
          <w:tcPr>
            <w:tcW w:w="1418" w:type="dxa"/>
            <w:tcBorders>
              <w:top w:val="nil"/>
              <w:left w:val="nil"/>
              <w:bottom w:val="single" w:sz="4" w:space="0" w:color="auto"/>
              <w:right w:val="single" w:sz="4" w:space="0" w:color="auto"/>
            </w:tcBorders>
            <w:noWrap/>
            <w:vAlign w:val="center"/>
            <w:hideMark/>
          </w:tcPr>
          <w:p w14:paraId="3F7687DD"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 diena</w:t>
            </w:r>
          </w:p>
        </w:tc>
        <w:tc>
          <w:tcPr>
            <w:tcW w:w="3686" w:type="dxa"/>
            <w:gridSpan w:val="3"/>
            <w:tcBorders>
              <w:top w:val="single" w:sz="4" w:space="0" w:color="auto"/>
              <w:left w:val="nil"/>
              <w:bottom w:val="single" w:sz="4" w:space="0" w:color="auto"/>
              <w:right w:val="single" w:sz="4" w:space="0" w:color="000000"/>
            </w:tcBorders>
            <w:vAlign w:val="center"/>
            <w:hideMark/>
          </w:tcPr>
          <w:p w14:paraId="4146FABC"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100% atlaide</w:t>
            </w:r>
          </w:p>
        </w:tc>
      </w:tr>
      <w:tr w:rsidR="00577860" w:rsidRPr="00373A79" w14:paraId="04D84513" w14:textId="77777777" w:rsidTr="00506EDE">
        <w:trPr>
          <w:gridAfter w:val="1"/>
          <w:wAfter w:w="41" w:type="dxa"/>
          <w:trHeight w:val="300"/>
        </w:trPr>
        <w:tc>
          <w:tcPr>
            <w:tcW w:w="993" w:type="dxa"/>
            <w:tcBorders>
              <w:top w:val="single" w:sz="4" w:space="0" w:color="auto"/>
              <w:left w:val="single" w:sz="4" w:space="0" w:color="auto"/>
              <w:bottom w:val="single" w:sz="4" w:space="0" w:color="auto"/>
              <w:right w:val="single" w:sz="4" w:space="0" w:color="auto"/>
            </w:tcBorders>
            <w:noWrap/>
            <w:vAlign w:val="center"/>
          </w:tcPr>
          <w:p w14:paraId="39F64D3F"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17.2.2.</w:t>
            </w:r>
          </w:p>
        </w:tc>
        <w:tc>
          <w:tcPr>
            <w:tcW w:w="4110" w:type="dxa"/>
            <w:tcBorders>
              <w:top w:val="single" w:sz="4" w:space="0" w:color="auto"/>
              <w:left w:val="nil"/>
              <w:bottom w:val="single" w:sz="4" w:space="0" w:color="auto"/>
              <w:right w:val="single" w:sz="4" w:space="0" w:color="auto"/>
            </w:tcBorders>
            <w:vAlign w:val="center"/>
          </w:tcPr>
          <w:p w14:paraId="38FE3484" w14:textId="77777777" w:rsidR="00577860" w:rsidRPr="00373A79" w:rsidRDefault="00577860" w:rsidP="00506EDE">
            <w:pPr>
              <w:spacing w:after="0" w:line="240" w:lineRule="auto"/>
              <w:contextualSpacing/>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Izglītojamie, kas pirmsskolas izglītības programmu apgūst </w:t>
            </w:r>
            <w:r w:rsidRPr="00540C75">
              <w:rPr>
                <w:rFonts w:ascii="Times New Roman" w:eastAsia="Times New Roman" w:hAnsi="Times New Roman"/>
                <w:sz w:val="24"/>
                <w:szCs w:val="24"/>
                <w:lang w:eastAsia="lv-LV"/>
              </w:rPr>
              <w:t xml:space="preserve">izglītības iestādē, </w:t>
            </w:r>
            <w:r w:rsidRPr="00540C75">
              <w:rPr>
                <w:rFonts w:ascii="Times New Roman" w:eastAsia="Times New Roman" w:hAnsi="Times New Roman"/>
                <w:sz w:val="24"/>
                <w:szCs w:val="24"/>
                <w:lang w:eastAsia="lv-LV"/>
              </w:rPr>
              <w:lastRenderedPageBreak/>
              <w:t>kur</w:t>
            </w:r>
            <w:r>
              <w:rPr>
                <w:rFonts w:ascii="Times New Roman" w:eastAsia="Times New Roman" w:hAnsi="Times New Roman"/>
                <w:sz w:val="24"/>
                <w:szCs w:val="24"/>
                <w:lang w:eastAsia="lv-LV"/>
              </w:rPr>
              <w:t>ā</w:t>
            </w:r>
            <w:r w:rsidRPr="00540C75">
              <w:rPr>
                <w:rFonts w:ascii="Times New Roman" w:eastAsia="Times New Roman" w:hAnsi="Times New Roman"/>
                <w:sz w:val="24"/>
                <w:szCs w:val="24"/>
                <w:lang w:eastAsia="lv-LV"/>
              </w:rPr>
              <w:t xml:space="preserve"> ēdināšanas izdevumi tiek segti no valsts budžeta mērķdotācijas</w:t>
            </w:r>
          </w:p>
        </w:tc>
        <w:tc>
          <w:tcPr>
            <w:tcW w:w="1418" w:type="dxa"/>
            <w:tcBorders>
              <w:top w:val="single" w:sz="4" w:space="0" w:color="auto"/>
              <w:left w:val="nil"/>
              <w:bottom w:val="single" w:sz="4" w:space="0" w:color="auto"/>
              <w:right w:val="single" w:sz="4" w:space="0" w:color="auto"/>
            </w:tcBorders>
            <w:noWrap/>
            <w:vAlign w:val="center"/>
          </w:tcPr>
          <w:p w14:paraId="0B318280"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lastRenderedPageBreak/>
              <w:t>1 diena</w:t>
            </w:r>
          </w:p>
        </w:tc>
        <w:tc>
          <w:tcPr>
            <w:tcW w:w="3686" w:type="dxa"/>
            <w:gridSpan w:val="3"/>
            <w:tcBorders>
              <w:top w:val="single" w:sz="4" w:space="0" w:color="auto"/>
              <w:left w:val="nil"/>
              <w:bottom w:val="single" w:sz="4" w:space="0" w:color="auto"/>
              <w:right w:val="single" w:sz="4" w:space="0" w:color="auto"/>
            </w:tcBorders>
            <w:vAlign w:val="center"/>
          </w:tcPr>
          <w:p w14:paraId="0568141D" w14:textId="77777777" w:rsidR="00577860" w:rsidRPr="00373A79" w:rsidRDefault="00577860" w:rsidP="00506EDE">
            <w:pPr>
              <w:spacing w:after="0" w:line="240" w:lineRule="auto"/>
              <w:contextualSpacing/>
              <w:jc w:val="center"/>
              <w:rPr>
                <w:rFonts w:ascii="Times New Roman" w:eastAsia="Times New Roman" w:hAnsi="Times New Roman"/>
                <w:sz w:val="24"/>
                <w:szCs w:val="24"/>
                <w:lang w:eastAsia="lv-LV"/>
              </w:rPr>
            </w:pPr>
            <w:r w:rsidRPr="00373A79">
              <w:rPr>
                <w:rFonts w:ascii="Times New Roman" w:eastAsia="Times New Roman" w:hAnsi="Times New Roman"/>
                <w:sz w:val="24"/>
                <w:szCs w:val="24"/>
                <w:lang w:eastAsia="lv-LV"/>
              </w:rPr>
              <w:t>100% atlaide</w:t>
            </w:r>
          </w:p>
        </w:tc>
      </w:tr>
    </w:tbl>
    <w:p w14:paraId="77DEA7A4" w14:textId="77777777" w:rsidR="00577860" w:rsidRPr="00373A79" w:rsidRDefault="00577860" w:rsidP="00577860">
      <w:pPr>
        <w:spacing w:after="0" w:line="240" w:lineRule="auto"/>
        <w:contextualSpacing/>
        <w:textDirection w:val="btLr"/>
        <w:textAlignment w:val="top"/>
        <w:outlineLvl w:val="0"/>
        <w:rPr>
          <w:rFonts w:ascii="Times New Roman" w:eastAsia="Times New Roman" w:hAnsi="Times New Roman"/>
          <w:sz w:val="24"/>
          <w:szCs w:val="24"/>
          <w:lang w:eastAsia="ar-SA"/>
        </w:rPr>
      </w:pPr>
    </w:p>
    <w:p w14:paraId="33D23232" w14:textId="77777777" w:rsidR="00577860" w:rsidRPr="00373A79" w:rsidRDefault="00577860" w:rsidP="00577860">
      <w:pPr>
        <w:spacing w:after="0" w:line="240" w:lineRule="auto"/>
        <w:contextualSpacing/>
        <w:jc w:val="both"/>
        <w:textDirection w:val="btLr"/>
        <w:textAlignment w:val="top"/>
        <w:outlineLvl w:val="0"/>
        <w:rPr>
          <w:rFonts w:ascii="Times New Roman" w:eastAsia="Times New Roman" w:hAnsi="Times New Roman"/>
          <w:sz w:val="24"/>
          <w:szCs w:val="24"/>
          <w:lang w:eastAsia="ar-SA"/>
        </w:rPr>
      </w:pPr>
      <w:r w:rsidRPr="00373A79">
        <w:rPr>
          <w:rFonts w:ascii="Times New Roman" w:eastAsia="Times New Roman" w:hAnsi="Times New Roman"/>
          <w:sz w:val="24"/>
          <w:szCs w:val="24"/>
          <w:lang w:eastAsia="ar-SA"/>
        </w:rPr>
        <w:t>**** Pakalpojums tiek nodrošināts tikai tur</w:t>
      </w:r>
      <w:r>
        <w:rPr>
          <w:rFonts w:ascii="Times New Roman" w:eastAsia="Times New Roman" w:hAnsi="Times New Roman"/>
          <w:sz w:val="24"/>
          <w:szCs w:val="24"/>
          <w:lang w:eastAsia="ar-SA"/>
        </w:rPr>
        <w:t>,</w:t>
      </w:r>
      <w:r w:rsidRPr="00373A79">
        <w:rPr>
          <w:rFonts w:ascii="Times New Roman" w:eastAsia="Times New Roman" w:hAnsi="Times New Roman"/>
          <w:sz w:val="24"/>
          <w:szCs w:val="24"/>
          <w:lang w:eastAsia="ar-SA"/>
        </w:rPr>
        <w:t xml:space="preserve"> kur tas tiek piedāvāts un netraucē pašvaldības funkciju nodrošināšanai. </w:t>
      </w:r>
    </w:p>
    <w:p w14:paraId="21DC6622" w14:textId="77777777" w:rsidR="00577860" w:rsidRPr="00373A79" w:rsidRDefault="00577860" w:rsidP="00577860">
      <w:pPr>
        <w:spacing w:after="0" w:line="240" w:lineRule="auto"/>
        <w:contextualSpacing/>
        <w:jc w:val="both"/>
        <w:rPr>
          <w:rFonts w:ascii="Times New Roman" w:eastAsia="Times New Roman" w:hAnsi="Times New Roman"/>
          <w:sz w:val="24"/>
          <w:szCs w:val="24"/>
          <w:lang w:eastAsia="lv-LV"/>
        </w:rPr>
      </w:pPr>
      <w:r>
        <w:rPr>
          <w:rFonts w:ascii="Times New Roman" w:eastAsia="Times New Roman" w:hAnsi="Times New Roman"/>
          <w:sz w:val="24"/>
          <w:szCs w:val="24"/>
          <w:vertAlign w:val="superscript"/>
          <w:lang w:eastAsia="lv-LV"/>
        </w:rPr>
        <w:t>*1</w:t>
      </w:r>
      <w:r w:rsidRPr="00373A79">
        <w:rPr>
          <w:rFonts w:ascii="Times New Roman" w:eastAsia="Times New Roman" w:hAnsi="Times New Roman"/>
          <w:sz w:val="24"/>
          <w:szCs w:val="24"/>
          <w:vertAlign w:val="superscript"/>
          <w:lang w:eastAsia="lv-LV"/>
        </w:rPr>
        <w:t>0</w:t>
      </w:r>
      <w:r w:rsidRPr="00373A79">
        <w:rPr>
          <w:rFonts w:ascii="Times New Roman" w:eastAsia="Times New Roman" w:hAnsi="Times New Roman"/>
          <w:sz w:val="24"/>
          <w:szCs w:val="24"/>
          <w:lang w:eastAsia="lv-LV"/>
        </w:rPr>
        <w:t xml:space="preserve"> PVN nepiemēro pamatojoties uz Pievienotās vērtības nodokļa likuma 52.</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 xml:space="preserve">panta, </w:t>
      </w:r>
      <w:r>
        <w:rPr>
          <w:rFonts w:ascii="Times New Roman" w:eastAsia="Times New Roman" w:hAnsi="Times New Roman"/>
          <w:sz w:val="24"/>
          <w:szCs w:val="24"/>
          <w:lang w:eastAsia="lv-LV"/>
        </w:rPr>
        <w:t xml:space="preserve">pirmās </w:t>
      </w:r>
      <w:r w:rsidRPr="00373A79">
        <w:rPr>
          <w:rFonts w:ascii="Times New Roman" w:eastAsia="Times New Roman" w:hAnsi="Times New Roman"/>
          <w:sz w:val="24"/>
          <w:szCs w:val="24"/>
          <w:lang w:eastAsia="lv-LV"/>
        </w:rPr>
        <w:t>daļas 11.</w:t>
      </w:r>
      <w:r>
        <w:rPr>
          <w:rFonts w:ascii="Times New Roman" w:eastAsia="Times New Roman" w:hAnsi="Times New Roman"/>
          <w:sz w:val="24"/>
          <w:szCs w:val="24"/>
          <w:lang w:eastAsia="lv-LV"/>
        </w:rPr>
        <w:t> </w:t>
      </w:r>
      <w:r w:rsidRPr="00373A79">
        <w:rPr>
          <w:rFonts w:ascii="Times New Roman" w:eastAsia="Times New Roman" w:hAnsi="Times New Roman"/>
          <w:sz w:val="24"/>
          <w:szCs w:val="24"/>
          <w:lang w:eastAsia="lv-LV"/>
        </w:rPr>
        <w:t>punktu.</w:t>
      </w:r>
    </w:p>
    <w:p w14:paraId="1F46E226" w14:textId="77777777" w:rsidR="00577860" w:rsidRDefault="00577860" w:rsidP="00577860">
      <w:pPr>
        <w:spacing w:after="0" w:line="240" w:lineRule="auto"/>
        <w:contextualSpacing/>
        <w:textDirection w:val="btLr"/>
        <w:textAlignment w:val="top"/>
        <w:outlineLvl w:val="0"/>
        <w:rPr>
          <w:rFonts w:ascii="Times New Roman" w:eastAsia="Times New Roman" w:hAnsi="Times New Roman"/>
          <w:sz w:val="24"/>
          <w:szCs w:val="24"/>
          <w:lang w:eastAsia="lv-LV"/>
        </w:rPr>
      </w:pPr>
      <w:r>
        <w:rPr>
          <w:rFonts w:ascii="Times New Roman" w:eastAsia="Times New Roman" w:hAnsi="Times New Roman"/>
          <w:sz w:val="24"/>
          <w:szCs w:val="24"/>
          <w:vertAlign w:val="superscript"/>
          <w:lang w:eastAsia="lv-LV"/>
        </w:rPr>
        <w:t>*</w:t>
      </w:r>
      <w:r w:rsidRPr="00373A79">
        <w:rPr>
          <w:rFonts w:ascii="Times New Roman" w:eastAsia="Times New Roman" w:hAnsi="Times New Roman"/>
          <w:sz w:val="24"/>
          <w:szCs w:val="24"/>
          <w:vertAlign w:val="superscript"/>
          <w:lang w:eastAsia="lv-LV"/>
        </w:rPr>
        <w:t>1</w:t>
      </w:r>
      <w:r>
        <w:rPr>
          <w:rFonts w:ascii="Times New Roman" w:eastAsia="Times New Roman" w:hAnsi="Times New Roman"/>
          <w:sz w:val="24"/>
          <w:szCs w:val="24"/>
          <w:vertAlign w:val="superscript"/>
          <w:lang w:eastAsia="lv-LV"/>
        </w:rPr>
        <w:t>1</w:t>
      </w:r>
      <w:r w:rsidRPr="00373A7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Atlaides neattiecas uz Madonas sporta skolas</w:t>
      </w:r>
    </w:p>
    <w:p w14:paraId="7D5E7D54" w14:textId="77777777" w:rsidR="00577860" w:rsidRDefault="00577860" w:rsidP="00577860">
      <w:pPr>
        <w:spacing w:after="0" w:line="240" w:lineRule="auto"/>
        <w:contextualSpacing/>
        <w:textDirection w:val="btLr"/>
        <w:textAlignment w:val="top"/>
        <w:outlineLvl w:val="0"/>
        <w:rPr>
          <w:rFonts w:ascii="Times New Roman" w:eastAsia="Times New Roman" w:hAnsi="Times New Roman"/>
          <w:sz w:val="24"/>
          <w:szCs w:val="24"/>
          <w:lang w:eastAsia="lv-LV"/>
        </w:rPr>
      </w:pPr>
    </w:p>
    <w:p w14:paraId="2CFB0231" w14:textId="77777777" w:rsidR="00577860" w:rsidRPr="00373A79" w:rsidRDefault="00577860" w:rsidP="00577860">
      <w:pPr>
        <w:numPr>
          <w:ilvl w:val="0"/>
          <w:numId w:val="14"/>
        </w:numPr>
        <w:tabs>
          <w:tab w:val="left" w:pos="284"/>
        </w:tabs>
        <w:spacing w:after="0" w:line="240" w:lineRule="auto"/>
        <w:ind w:left="0" w:firstLine="0"/>
        <w:contextualSpacing/>
        <w:textDirection w:val="btLr"/>
        <w:textAlignment w:val="top"/>
        <w:outlineLvl w:val="0"/>
        <w:rPr>
          <w:rFonts w:ascii="Times New Roman" w:eastAsia="Times New Roman" w:hAnsi="Times New Roman"/>
          <w:position w:val="-1"/>
          <w:sz w:val="24"/>
          <w:szCs w:val="24"/>
          <w:lang w:val="en-AU" w:eastAsia="ar-SA"/>
        </w:rPr>
      </w:pPr>
      <w:proofErr w:type="spellStart"/>
      <w:r w:rsidRPr="00373A79">
        <w:rPr>
          <w:rFonts w:ascii="Times New Roman" w:eastAsia="Times New Roman" w:hAnsi="Times New Roman"/>
          <w:position w:val="-1"/>
          <w:sz w:val="24"/>
          <w:szCs w:val="24"/>
          <w:lang w:val="en-AU" w:eastAsia="ar-SA"/>
        </w:rPr>
        <w:t>Grozījumi</w:t>
      </w:r>
      <w:proofErr w:type="spellEnd"/>
      <w:r w:rsidRPr="00373A79">
        <w:rPr>
          <w:rFonts w:ascii="Times New Roman" w:eastAsia="Times New Roman" w:hAnsi="Times New Roman"/>
          <w:position w:val="-1"/>
          <w:sz w:val="24"/>
          <w:szCs w:val="24"/>
          <w:lang w:val="en-AU" w:eastAsia="ar-SA"/>
        </w:rPr>
        <w:t xml:space="preserve"> </w:t>
      </w:r>
      <w:proofErr w:type="spellStart"/>
      <w:r w:rsidRPr="00373A79">
        <w:rPr>
          <w:rFonts w:ascii="Times New Roman" w:eastAsia="Times New Roman" w:hAnsi="Times New Roman"/>
          <w:position w:val="-1"/>
          <w:sz w:val="24"/>
          <w:szCs w:val="24"/>
          <w:lang w:val="en-AU" w:eastAsia="ar-SA"/>
        </w:rPr>
        <w:t>stājas</w:t>
      </w:r>
      <w:proofErr w:type="spellEnd"/>
      <w:r w:rsidRPr="00373A79">
        <w:rPr>
          <w:rFonts w:ascii="Times New Roman" w:eastAsia="Times New Roman" w:hAnsi="Times New Roman"/>
          <w:position w:val="-1"/>
          <w:sz w:val="24"/>
          <w:szCs w:val="24"/>
          <w:lang w:val="en-AU" w:eastAsia="ar-SA"/>
        </w:rPr>
        <w:t xml:space="preserve"> </w:t>
      </w:r>
      <w:proofErr w:type="spellStart"/>
      <w:r w:rsidRPr="00373A79">
        <w:rPr>
          <w:rFonts w:ascii="Times New Roman" w:eastAsia="Times New Roman" w:hAnsi="Times New Roman"/>
          <w:position w:val="-1"/>
          <w:sz w:val="24"/>
          <w:szCs w:val="24"/>
          <w:lang w:val="en-AU" w:eastAsia="ar-SA"/>
        </w:rPr>
        <w:t>spēkā</w:t>
      </w:r>
      <w:proofErr w:type="spellEnd"/>
      <w:r w:rsidRPr="00373A79">
        <w:rPr>
          <w:rFonts w:ascii="Times New Roman" w:eastAsia="Times New Roman" w:hAnsi="Times New Roman"/>
          <w:position w:val="-1"/>
          <w:sz w:val="24"/>
          <w:szCs w:val="24"/>
          <w:lang w:val="en-AU" w:eastAsia="ar-SA"/>
        </w:rPr>
        <w:t xml:space="preserve"> </w:t>
      </w:r>
      <w:proofErr w:type="spellStart"/>
      <w:r w:rsidRPr="00373A79">
        <w:rPr>
          <w:rFonts w:ascii="Times New Roman" w:eastAsia="Times New Roman" w:hAnsi="Times New Roman"/>
          <w:position w:val="-1"/>
          <w:sz w:val="24"/>
          <w:szCs w:val="24"/>
          <w:lang w:val="en-AU" w:eastAsia="ar-SA"/>
        </w:rPr>
        <w:t>ar</w:t>
      </w:r>
      <w:proofErr w:type="spellEnd"/>
      <w:r w:rsidRPr="00373A79">
        <w:rPr>
          <w:rFonts w:ascii="Times New Roman" w:eastAsia="Times New Roman" w:hAnsi="Times New Roman"/>
          <w:position w:val="-1"/>
          <w:sz w:val="24"/>
          <w:szCs w:val="24"/>
          <w:lang w:val="en-AU" w:eastAsia="ar-SA"/>
        </w:rPr>
        <w:t xml:space="preserve"> 2026.</w:t>
      </w:r>
      <w:r>
        <w:rPr>
          <w:rFonts w:ascii="Times New Roman" w:eastAsia="Times New Roman" w:hAnsi="Times New Roman"/>
          <w:position w:val="-1"/>
          <w:sz w:val="24"/>
          <w:szCs w:val="24"/>
          <w:lang w:val="en-AU" w:eastAsia="ar-SA"/>
        </w:rPr>
        <w:t> gada 1. </w:t>
      </w:r>
      <w:proofErr w:type="spellStart"/>
      <w:r>
        <w:rPr>
          <w:rFonts w:ascii="Times New Roman" w:eastAsia="Times New Roman" w:hAnsi="Times New Roman"/>
          <w:position w:val="-1"/>
          <w:sz w:val="24"/>
          <w:szCs w:val="24"/>
          <w:lang w:val="en-AU" w:eastAsia="ar-SA"/>
        </w:rPr>
        <w:t>martu</w:t>
      </w:r>
      <w:proofErr w:type="spellEnd"/>
    </w:p>
    <w:p w14:paraId="348FE340" w14:textId="77777777" w:rsidR="00577860" w:rsidRPr="00373A79" w:rsidRDefault="00577860" w:rsidP="00577860">
      <w:pPr>
        <w:spacing w:after="0" w:line="240" w:lineRule="auto"/>
        <w:contextualSpacing/>
        <w:textDirection w:val="btLr"/>
        <w:textAlignment w:val="top"/>
        <w:outlineLvl w:val="0"/>
        <w:rPr>
          <w:rFonts w:ascii="Times New Roman" w:eastAsia="Times New Roman" w:hAnsi="Times New Roman"/>
          <w:position w:val="-1"/>
          <w:sz w:val="24"/>
          <w:szCs w:val="24"/>
          <w:lang w:val="en-AU" w:eastAsia="ar-SA"/>
        </w:rPr>
      </w:pPr>
    </w:p>
    <w:p w14:paraId="218F0430" w14:textId="77777777" w:rsidR="00305261" w:rsidRDefault="00305261" w:rsidP="006C7786">
      <w:pPr>
        <w:spacing w:after="0" w:line="240" w:lineRule="auto"/>
        <w:rPr>
          <w:rFonts w:ascii="Times New Roman" w:eastAsia="Times New Roman" w:hAnsi="Times New Roman" w:cs="Times New Roman"/>
          <w:noProof/>
        </w:rPr>
      </w:pP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4765E57" w14:textId="050529B0" w:rsidR="00577860" w:rsidRPr="00577860" w:rsidRDefault="00577860" w:rsidP="00577860">
      <w:pPr>
        <w:spacing w:after="0" w:line="240" w:lineRule="auto"/>
        <w:contextualSpacing/>
        <w:textDirection w:val="btLr"/>
        <w:textAlignment w:val="top"/>
        <w:outlineLvl w:val="0"/>
        <w:rPr>
          <w:rFonts w:ascii="Times New Roman" w:eastAsia="Times New Roman" w:hAnsi="Times New Roman"/>
          <w:i/>
          <w:iCs/>
          <w:position w:val="-1"/>
          <w:sz w:val="24"/>
          <w:szCs w:val="24"/>
          <w:lang w:val="en-AU" w:eastAsia="ar-SA"/>
        </w:rPr>
      </w:pPr>
      <w:proofErr w:type="spellStart"/>
      <w:r w:rsidRPr="00577860">
        <w:rPr>
          <w:rFonts w:ascii="Times New Roman" w:eastAsia="Times New Roman" w:hAnsi="Times New Roman"/>
          <w:i/>
          <w:iCs/>
          <w:position w:val="-1"/>
          <w:sz w:val="24"/>
          <w:szCs w:val="24"/>
          <w:lang w:val="en-AU" w:eastAsia="ar-SA"/>
        </w:rPr>
        <w:t>Ankrava</w:t>
      </w:r>
      <w:proofErr w:type="spellEnd"/>
      <w:r w:rsidRPr="00577860">
        <w:rPr>
          <w:rFonts w:ascii="Times New Roman" w:eastAsia="Times New Roman" w:hAnsi="Times New Roman"/>
          <w:i/>
          <w:iCs/>
          <w:position w:val="-1"/>
          <w:sz w:val="24"/>
          <w:szCs w:val="24"/>
          <w:lang w:val="en-AU" w:eastAsia="ar-SA"/>
        </w:rPr>
        <w:t xml:space="preserve"> 29374376</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5A5A" w14:textId="77777777" w:rsidR="00C5089E" w:rsidRPr="00CA050C" w:rsidRDefault="00C5089E">
      <w:pPr>
        <w:spacing w:after="0" w:line="240" w:lineRule="auto"/>
      </w:pPr>
      <w:r w:rsidRPr="00CA050C">
        <w:separator/>
      </w:r>
    </w:p>
  </w:endnote>
  <w:endnote w:type="continuationSeparator" w:id="0">
    <w:p w14:paraId="346CA6F2" w14:textId="77777777" w:rsidR="00C5089E" w:rsidRPr="00CA050C" w:rsidRDefault="00C5089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5" w:name="_Hlk202447562"/>
    <w:r w:rsidRPr="00CA050C">
      <w:rPr>
        <w:sz w:val="20"/>
        <w:szCs w:val="20"/>
      </w:rPr>
      <w:t>DOKUMENTS PARAKSTĪTS AR DROŠU ELEKTRONISKO PARAKSTU UN SATUR LAIKA ZĪMOGU</w:t>
    </w:r>
  </w:p>
  <w:bookmarkEnd w:id="635"/>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E3D0" w14:textId="77777777" w:rsidR="00C5089E" w:rsidRPr="00CA050C" w:rsidRDefault="00C5089E">
      <w:pPr>
        <w:spacing w:after="0" w:line="240" w:lineRule="auto"/>
      </w:pPr>
      <w:r w:rsidRPr="00CA050C">
        <w:separator/>
      </w:r>
    </w:p>
  </w:footnote>
  <w:footnote w:type="continuationSeparator" w:id="0">
    <w:p w14:paraId="4153FD50" w14:textId="77777777" w:rsidR="00C5089E" w:rsidRPr="00CA050C" w:rsidRDefault="00C5089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6"/>
  </w:num>
  <w:num w:numId="3" w16cid:durableId="1236891424">
    <w:abstractNumId w:val="10"/>
  </w:num>
  <w:num w:numId="4" w16cid:durableId="1500148458">
    <w:abstractNumId w:val="7"/>
  </w:num>
  <w:num w:numId="5" w16cid:durableId="683164410">
    <w:abstractNumId w:val="5"/>
  </w:num>
  <w:num w:numId="6" w16cid:durableId="720640513">
    <w:abstractNumId w:val="13"/>
  </w:num>
  <w:num w:numId="7" w16cid:durableId="351346715">
    <w:abstractNumId w:val="9"/>
  </w:num>
  <w:num w:numId="8" w16cid:durableId="261380432">
    <w:abstractNumId w:val="14"/>
  </w:num>
  <w:num w:numId="9" w16cid:durableId="1170215837">
    <w:abstractNumId w:val="3"/>
  </w:num>
  <w:num w:numId="10" w16cid:durableId="10693817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4"/>
  </w:num>
  <w:num w:numId="13" w16cid:durableId="1532722903">
    <w:abstractNumId w:val="8"/>
  </w:num>
  <w:num w:numId="14" w16cid:durableId="4832029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3</Pages>
  <Words>4333</Words>
  <Characters>2470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804</cp:revision>
  <dcterms:created xsi:type="dcterms:W3CDTF">2024-09-06T08:06:00Z</dcterms:created>
  <dcterms:modified xsi:type="dcterms:W3CDTF">2026-04-01T15:16:00Z</dcterms:modified>
</cp:coreProperties>
</file>